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E5D6" w14:textId="77777777" w:rsidR="00E63B14" w:rsidRPr="003A4019" w:rsidRDefault="00E63B14" w:rsidP="00E63B14">
      <w:pPr>
        <w:spacing w:after="0"/>
        <w:jc w:val="center"/>
        <w:rPr>
          <w:rFonts w:ascii="Arial" w:hAnsi="Arial" w:cs="Arial"/>
        </w:rPr>
      </w:pPr>
      <w:r w:rsidRPr="003A4019">
        <w:rPr>
          <w:rFonts w:ascii="Arial" w:hAnsi="Arial" w:cs="Arial"/>
        </w:rPr>
        <w:t>Parliamentary Procedure</w:t>
      </w:r>
    </w:p>
    <w:p w14:paraId="457831C9" w14:textId="45697E02" w:rsidR="00E63B14" w:rsidRPr="003A4019" w:rsidRDefault="00E63B14" w:rsidP="00E63B14">
      <w:pPr>
        <w:spacing w:after="0"/>
        <w:jc w:val="center"/>
        <w:rPr>
          <w:rFonts w:ascii="Arial" w:hAnsi="Arial" w:cs="Arial"/>
        </w:rPr>
      </w:pPr>
      <w:r w:rsidRPr="003A4019">
        <w:rPr>
          <w:rFonts w:ascii="Arial" w:hAnsi="Arial" w:cs="Arial"/>
        </w:rPr>
        <w:t>UAF Faculty Senate 20</w:t>
      </w:r>
      <w:r w:rsidR="000074DC" w:rsidRPr="003A4019">
        <w:rPr>
          <w:rFonts w:ascii="Arial" w:hAnsi="Arial" w:cs="Arial"/>
        </w:rPr>
        <w:t>21</w:t>
      </w:r>
    </w:p>
    <w:p w14:paraId="2F1ACD5A" w14:textId="77777777" w:rsidR="00E63B14" w:rsidRPr="003A4019" w:rsidRDefault="00E63B14" w:rsidP="00E63B14">
      <w:pPr>
        <w:spacing w:after="0"/>
        <w:rPr>
          <w:rFonts w:ascii="Arial" w:hAnsi="Arial" w:cs="Arial"/>
        </w:rPr>
      </w:pPr>
    </w:p>
    <w:p w14:paraId="3244CDAA" w14:textId="767D009B" w:rsidR="00E63B14" w:rsidRPr="003A4019" w:rsidRDefault="000074DC" w:rsidP="00E63B14">
      <w:pPr>
        <w:spacing w:after="0"/>
        <w:rPr>
          <w:rFonts w:ascii="Arial" w:hAnsi="Arial" w:cs="Arial"/>
          <w:b/>
        </w:rPr>
      </w:pPr>
      <w:r w:rsidRPr="003A4019">
        <w:rPr>
          <w:rFonts w:ascii="Arial" w:hAnsi="Arial" w:cs="Arial"/>
          <w:b/>
        </w:rPr>
        <w:t>Purpose</w:t>
      </w:r>
    </w:p>
    <w:p w14:paraId="1492AFAD" w14:textId="216313FE" w:rsidR="00E63B14" w:rsidRPr="003A4019" w:rsidRDefault="00E63B14" w:rsidP="00944D50">
      <w:pPr>
        <w:spacing w:after="0"/>
        <w:ind w:left="72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 xml:space="preserve">To protect group and individual free speech </w:t>
      </w:r>
      <w:r w:rsidR="00752406">
        <w:rPr>
          <w:rFonts w:ascii="Arial" w:hAnsi="Arial" w:cs="Arial"/>
          <w:i/>
        </w:rPr>
        <w:t>and</w:t>
      </w:r>
      <w:r w:rsidRPr="003A4019">
        <w:rPr>
          <w:rFonts w:ascii="Arial" w:hAnsi="Arial" w:cs="Arial"/>
          <w:i/>
        </w:rPr>
        <w:t xml:space="preserve"> to promote orderly and productive meetings—meant to </w:t>
      </w:r>
      <w:r w:rsidR="00116751" w:rsidRPr="003A4019">
        <w:rPr>
          <w:rFonts w:ascii="Arial" w:hAnsi="Arial" w:cs="Arial"/>
          <w:i/>
        </w:rPr>
        <w:t>e</w:t>
      </w:r>
      <w:r w:rsidRPr="003A4019">
        <w:rPr>
          <w:rFonts w:ascii="Arial" w:hAnsi="Arial" w:cs="Arial"/>
          <w:i/>
        </w:rPr>
        <w:t>nsure that all members have equal rights and privileges</w:t>
      </w:r>
    </w:p>
    <w:p w14:paraId="5A6A4D2C" w14:textId="23EEE77B" w:rsidR="00E63B14" w:rsidRDefault="00E63B14" w:rsidP="00E63B14">
      <w:pPr>
        <w:spacing w:after="0"/>
        <w:rPr>
          <w:rFonts w:ascii="Arial" w:hAnsi="Arial" w:cs="Arial"/>
        </w:rPr>
      </w:pPr>
    </w:p>
    <w:p w14:paraId="0A101012" w14:textId="77777777" w:rsidR="002D2BEF" w:rsidRPr="003A4019" w:rsidRDefault="002D2BEF" w:rsidP="002D2BEF">
      <w:pPr>
        <w:spacing w:after="0"/>
        <w:rPr>
          <w:rFonts w:ascii="Arial" w:hAnsi="Arial" w:cs="Arial"/>
          <w:b/>
        </w:rPr>
      </w:pPr>
      <w:r w:rsidRPr="003A4019">
        <w:rPr>
          <w:rFonts w:ascii="Arial" w:hAnsi="Arial" w:cs="Arial"/>
          <w:b/>
        </w:rPr>
        <w:t>UAF Faculty Senate Rules</w:t>
      </w:r>
    </w:p>
    <w:p w14:paraId="25453F62" w14:textId="77777777" w:rsidR="002D2BEF" w:rsidRPr="003A4019" w:rsidRDefault="002D2BEF" w:rsidP="002D2BEF">
      <w:pPr>
        <w:pStyle w:val="ListParagraph"/>
        <w:numPr>
          <w:ilvl w:val="1"/>
          <w:numId w:val="4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/>
        </w:rPr>
        <w:t>Faculty Handbook</w:t>
      </w:r>
      <w:r w:rsidRPr="003A4019">
        <w:rPr>
          <w:rFonts w:ascii="Arial" w:hAnsi="Arial" w:cs="Arial"/>
          <w:iCs/>
        </w:rPr>
        <w:t xml:space="preserve"> (Appendix: Rules of Procedure of the Faculty Senate)</w:t>
      </w:r>
    </w:p>
    <w:p w14:paraId="6C9D58F5" w14:textId="77777777" w:rsidR="002D2BEF" w:rsidRPr="003A4019" w:rsidRDefault="008E6253" w:rsidP="002D2BEF">
      <w:pPr>
        <w:pStyle w:val="ListParagraph"/>
        <w:spacing w:after="0"/>
        <w:ind w:left="990"/>
        <w:rPr>
          <w:rFonts w:ascii="Arial" w:hAnsi="Arial" w:cs="Arial"/>
          <w:iCs/>
        </w:rPr>
      </w:pPr>
      <w:hyperlink r:id="rId7" w:history="1">
        <w:r w:rsidR="002D2BEF" w:rsidRPr="003A4019">
          <w:rPr>
            <w:rStyle w:val="Hyperlink"/>
            <w:rFonts w:ascii="Arial" w:hAnsi="Arial" w:cs="Arial"/>
            <w:iCs/>
          </w:rPr>
          <w:t>https://provost.</w:t>
        </w:r>
        <w:r w:rsidR="002D2BEF" w:rsidRPr="003A4019">
          <w:rPr>
            <w:rStyle w:val="Hyperlink"/>
            <w:rFonts w:ascii="Arial" w:hAnsi="Arial" w:cs="Arial"/>
            <w:iCs/>
          </w:rPr>
          <w:t>u</w:t>
        </w:r>
        <w:r w:rsidR="002D2BEF" w:rsidRPr="003A4019">
          <w:rPr>
            <w:rStyle w:val="Hyperlink"/>
            <w:rFonts w:ascii="Arial" w:hAnsi="Arial" w:cs="Arial"/>
            <w:iCs/>
          </w:rPr>
          <w:t>ark.edu/faculty-handbook/index.php</w:t>
        </w:r>
      </w:hyperlink>
    </w:p>
    <w:p w14:paraId="6B6A9E58" w14:textId="77777777" w:rsidR="002D2BEF" w:rsidRPr="003A4019" w:rsidRDefault="002D2BEF" w:rsidP="002D2BEF">
      <w:pPr>
        <w:pStyle w:val="ListParagraph"/>
        <w:numPr>
          <w:ilvl w:val="1"/>
          <w:numId w:val="4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Faculty Governance</w:t>
      </w:r>
    </w:p>
    <w:p w14:paraId="7449932C" w14:textId="77777777" w:rsidR="002D2BEF" w:rsidRPr="003A4019" w:rsidRDefault="008E6253" w:rsidP="002D2BEF">
      <w:pPr>
        <w:pStyle w:val="ListParagraph"/>
        <w:spacing w:after="0"/>
        <w:ind w:left="990"/>
        <w:rPr>
          <w:rFonts w:ascii="Arial" w:hAnsi="Arial" w:cs="Arial"/>
          <w:iCs/>
        </w:rPr>
      </w:pPr>
      <w:hyperlink r:id="rId8" w:history="1">
        <w:r w:rsidR="002D2BEF" w:rsidRPr="003A4019">
          <w:rPr>
            <w:rStyle w:val="Hyperlink"/>
            <w:rFonts w:ascii="Arial" w:hAnsi="Arial" w:cs="Arial"/>
            <w:iCs/>
          </w:rPr>
          <w:t>https://pr</w:t>
        </w:r>
        <w:r w:rsidR="002D2BEF" w:rsidRPr="003A4019">
          <w:rPr>
            <w:rStyle w:val="Hyperlink"/>
            <w:rFonts w:ascii="Arial" w:hAnsi="Arial" w:cs="Arial"/>
            <w:iCs/>
          </w:rPr>
          <w:t>o</w:t>
        </w:r>
        <w:r w:rsidR="002D2BEF" w:rsidRPr="003A4019">
          <w:rPr>
            <w:rStyle w:val="Hyperlink"/>
            <w:rFonts w:ascii="Arial" w:hAnsi="Arial" w:cs="Arial"/>
            <w:iCs/>
          </w:rPr>
          <w:t>vost.uark.edu/campus-governance/faculty.php</w:t>
        </w:r>
      </w:hyperlink>
    </w:p>
    <w:p w14:paraId="459FECE7" w14:textId="77777777" w:rsidR="002D2BEF" w:rsidRPr="003A4019" w:rsidRDefault="002D2BEF" w:rsidP="002D2BEF">
      <w:pPr>
        <w:pStyle w:val="ListParagraph"/>
        <w:numPr>
          <w:ilvl w:val="1"/>
          <w:numId w:val="4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Board of Trustee Policy 810.1 (Articles of Local Campus Governance for the University of Arkansas, Fayetteville 3.30.2012)</w:t>
      </w:r>
    </w:p>
    <w:p w14:paraId="235045BE" w14:textId="77777777" w:rsidR="002D2BEF" w:rsidRPr="003A4019" w:rsidRDefault="008E6253" w:rsidP="002D2BEF">
      <w:pPr>
        <w:pStyle w:val="ListParagraph"/>
        <w:spacing w:after="0"/>
        <w:ind w:left="990"/>
        <w:rPr>
          <w:rFonts w:ascii="Arial" w:hAnsi="Arial" w:cs="Arial"/>
          <w:iCs/>
        </w:rPr>
      </w:pPr>
      <w:hyperlink r:id="rId9" w:history="1">
        <w:r w:rsidR="002D2BEF" w:rsidRPr="003A4019">
          <w:rPr>
            <w:rStyle w:val="Hyperlink"/>
            <w:rFonts w:ascii="Arial" w:hAnsi="Arial" w:cs="Arial"/>
            <w:iCs/>
          </w:rPr>
          <w:t>https://www.ua</w:t>
        </w:r>
        <w:r w:rsidR="002D2BEF" w:rsidRPr="003A4019">
          <w:rPr>
            <w:rStyle w:val="Hyperlink"/>
            <w:rFonts w:ascii="Arial" w:hAnsi="Arial" w:cs="Arial"/>
            <w:iCs/>
          </w:rPr>
          <w:t>s</w:t>
        </w:r>
        <w:r w:rsidR="002D2BEF" w:rsidRPr="003A4019">
          <w:rPr>
            <w:rStyle w:val="Hyperlink"/>
            <w:rFonts w:ascii="Arial" w:hAnsi="Arial" w:cs="Arial"/>
            <w:iCs/>
          </w:rPr>
          <w:t>ys.edu/wp-content/uploads/sites/16/2018/04/810.1-UAF-Local-Campus-Government.pdf</w:t>
        </w:r>
      </w:hyperlink>
    </w:p>
    <w:p w14:paraId="59904C1C" w14:textId="77777777" w:rsidR="002D2BEF" w:rsidRPr="003A4019" w:rsidRDefault="002D2BEF" w:rsidP="002D2BEF">
      <w:pPr>
        <w:pStyle w:val="ListParagraph"/>
        <w:numPr>
          <w:ilvl w:val="0"/>
          <w:numId w:val="7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Faculty Senate has sole jurisdiction over:</w:t>
      </w:r>
    </w:p>
    <w:p w14:paraId="0FC4AFF5" w14:textId="77777777" w:rsidR="002D2BEF" w:rsidRPr="003A4019" w:rsidRDefault="002D2BEF" w:rsidP="002D2BEF">
      <w:pPr>
        <w:pStyle w:val="ListParagraph"/>
        <w:numPr>
          <w:ilvl w:val="0"/>
          <w:numId w:val="8"/>
        </w:numPr>
        <w:spacing w:after="0"/>
        <w:ind w:left="1710"/>
        <w:rPr>
          <w:rFonts w:ascii="Arial" w:hAnsi="Arial" w:cs="Arial"/>
          <w:i/>
          <w:iCs/>
        </w:rPr>
      </w:pPr>
      <w:r w:rsidRPr="003A4019">
        <w:rPr>
          <w:rFonts w:ascii="Arial" w:hAnsi="Arial" w:cs="Arial"/>
          <w:i/>
          <w:iCs/>
        </w:rPr>
        <w:t>admission requirements; transfer of credits; withdrawals; academic honesty;</w:t>
      </w:r>
      <w:bookmarkStart w:id="0" w:name="_GoBack"/>
      <w:bookmarkEnd w:id="0"/>
      <w:r w:rsidRPr="003A4019">
        <w:rPr>
          <w:rFonts w:ascii="Arial" w:hAnsi="Arial" w:cs="Arial"/>
          <w:i/>
          <w:iCs/>
        </w:rPr>
        <w:t xml:space="preserve"> scholastic probation, suspension, and dismissal; </w:t>
      </w:r>
    </w:p>
    <w:p w14:paraId="079EFF0F" w14:textId="77777777" w:rsidR="002D2BEF" w:rsidRPr="003A4019" w:rsidRDefault="002D2BEF" w:rsidP="002D2BEF">
      <w:pPr>
        <w:pStyle w:val="ListParagraph"/>
        <w:numPr>
          <w:ilvl w:val="0"/>
          <w:numId w:val="8"/>
        </w:numPr>
        <w:spacing w:after="0"/>
        <w:ind w:left="1710"/>
        <w:rPr>
          <w:rFonts w:ascii="Arial" w:hAnsi="Arial" w:cs="Arial"/>
          <w:i/>
          <w:iCs/>
        </w:rPr>
      </w:pPr>
      <w:r w:rsidRPr="003A4019">
        <w:rPr>
          <w:rFonts w:ascii="Arial" w:hAnsi="Arial" w:cs="Arial"/>
          <w:i/>
          <w:iCs/>
        </w:rPr>
        <w:t xml:space="preserve">curriculum and courses; </w:t>
      </w:r>
    </w:p>
    <w:p w14:paraId="79AB86A3" w14:textId="77777777" w:rsidR="002D2BEF" w:rsidRPr="003A4019" w:rsidRDefault="002D2BEF" w:rsidP="002D2BEF">
      <w:pPr>
        <w:pStyle w:val="ListParagraph"/>
        <w:numPr>
          <w:ilvl w:val="0"/>
          <w:numId w:val="8"/>
        </w:numPr>
        <w:spacing w:after="0"/>
        <w:ind w:left="1710"/>
        <w:rPr>
          <w:rFonts w:ascii="Arial" w:hAnsi="Arial" w:cs="Arial"/>
          <w:i/>
          <w:iCs/>
        </w:rPr>
      </w:pPr>
      <w:r w:rsidRPr="003A4019">
        <w:rPr>
          <w:rFonts w:ascii="Arial" w:hAnsi="Arial" w:cs="Arial"/>
          <w:i/>
          <w:iCs/>
        </w:rPr>
        <w:t xml:space="preserve">degrees and requirements for degrees; </w:t>
      </w:r>
    </w:p>
    <w:p w14:paraId="44591127" w14:textId="77777777" w:rsidR="002D2BEF" w:rsidRPr="003A4019" w:rsidRDefault="002D2BEF" w:rsidP="002D2BEF">
      <w:pPr>
        <w:pStyle w:val="ListParagraph"/>
        <w:numPr>
          <w:ilvl w:val="0"/>
          <w:numId w:val="8"/>
        </w:numPr>
        <w:spacing w:after="0"/>
        <w:ind w:left="1710"/>
        <w:rPr>
          <w:rFonts w:ascii="Arial" w:hAnsi="Arial" w:cs="Arial"/>
          <w:i/>
          <w:iCs/>
        </w:rPr>
      </w:pPr>
      <w:r w:rsidRPr="003A4019">
        <w:rPr>
          <w:rFonts w:ascii="Arial" w:hAnsi="Arial" w:cs="Arial"/>
          <w:i/>
          <w:iCs/>
        </w:rPr>
        <w:t>award of academic honors; and</w:t>
      </w:r>
    </w:p>
    <w:p w14:paraId="27F3DB6A" w14:textId="77777777" w:rsidR="002D2BEF" w:rsidRPr="003A4019" w:rsidRDefault="002D2BEF" w:rsidP="002D2BEF">
      <w:pPr>
        <w:pStyle w:val="ListParagraph"/>
        <w:numPr>
          <w:ilvl w:val="0"/>
          <w:numId w:val="8"/>
        </w:numPr>
        <w:spacing w:after="0"/>
        <w:ind w:left="1710"/>
        <w:rPr>
          <w:rFonts w:ascii="Arial" w:hAnsi="Arial" w:cs="Arial"/>
          <w:i/>
          <w:iCs/>
        </w:rPr>
      </w:pPr>
      <w:r w:rsidRPr="003A4019">
        <w:rPr>
          <w:rFonts w:ascii="Arial" w:hAnsi="Arial" w:cs="Arial"/>
          <w:i/>
          <w:iCs/>
        </w:rPr>
        <w:t>recommendations to the Board of Trustees of the names of individuals to receive honorary degrees.</w:t>
      </w:r>
    </w:p>
    <w:p w14:paraId="5135279B" w14:textId="77777777" w:rsidR="002D2BEF" w:rsidRPr="003A4019" w:rsidRDefault="002D2BEF" w:rsidP="002D2BEF">
      <w:pPr>
        <w:pStyle w:val="ListParagraph"/>
        <w:numPr>
          <w:ilvl w:val="0"/>
          <w:numId w:val="7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The faculty may also make recommendations on any institutional matter of faculty concern such as:</w:t>
      </w:r>
    </w:p>
    <w:p w14:paraId="7F3D44B0" w14:textId="77777777" w:rsidR="002D2BEF" w:rsidRPr="003A4019" w:rsidRDefault="002D2BEF" w:rsidP="002D2BE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 xml:space="preserve">policies regarding faculty status, including appointments, promotions, granting of tenure, retirement, nonreappointment, and dismissal; </w:t>
      </w:r>
    </w:p>
    <w:p w14:paraId="6C811CE7" w14:textId="77777777" w:rsidR="002D2BEF" w:rsidRPr="003A4019" w:rsidRDefault="002D2BEF" w:rsidP="002D2BE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 xml:space="preserve">policies affecting the general welfare, working conditions, and the services performed by and for the faculty; and </w:t>
      </w:r>
    </w:p>
    <w:p w14:paraId="303ECB9F" w14:textId="77777777" w:rsidR="002D2BEF" w:rsidRPr="003A4019" w:rsidRDefault="002D2BEF" w:rsidP="002D2BE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policies relating to academic and professional research and other scholarly and creative activities.</w:t>
      </w:r>
    </w:p>
    <w:p w14:paraId="1F3331F4" w14:textId="3D7B8049" w:rsidR="002D2BEF" w:rsidRPr="004A7628" w:rsidRDefault="00CF0A7E" w:rsidP="004A7628">
      <w:pPr>
        <w:pStyle w:val="ListParagraph"/>
        <w:numPr>
          <w:ilvl w:val="0"/>
          <w:numId w:val="16"/>
        </w:numPr>
        <w:spacing w:after="0"/>
        <w:ind w:left="990" w:hanging="270"/>
        <w:rPr>
          <w:rFonts w:ascii="Arial" w:hAnsi="Arial" w:cs="Arial"/>
        </w:rPr>
      </w:pPr>
      <w:r w:rsidRPr="004A7628">
        <w:rPr>
          <w:rFonts w:ascii="Arial" w:hAnsi="Arial" w:cs="Arial"/>
        </w:rPr>
        <w:t xml:space="preserve">The Faculty Senate’s rules of order are those in A. Sturgis (2000), </w:t>
      </w:r>
      <w:r w:rsidRPr="004A7628">
        <w:rPr>
          <w:rFonts w:ascii="Arial" w:hAnsi="Arial" w:cs="Arial"/>
          <w:i/>
          <w:iCs/>
        </w:rPr>
        <w:t>The Standard Code of Parliamentary Procedure</w:t>
      </w:r>
      <w:r w:rsidRPr="004A7628">
        <w:rPr>
          <w:rFonts w:ascii="Arial" w:hAnsi="Arial" w:cs="Arial"/>
        </w:rPr>
        <w:t xml:space="preserve"> (4</w:t>
      </w:r>
      <w:r w:rsidRPr="004A7628">
        <w:rPr>
          <w:rFonts w:ascii="Arial" w:hAnsi="Arial" w:cs="Arial"/>
          <w:vertAlign w:val="superscript"/>
        </w:rPr>
        <w:t>th</w:t>
      </w:r>
      <w:r w:rsidRPr="004A7628">
        <w:rPr>
          <w:rFonts w:ascii="Arial" w:hAnsi="Arial" w:cs="Arial"/>
        </w:rPr>
        <w:t xml:space="preserve"> Edition). McGraw-Hill Education.  However, Alice Sturgis’ (</w:t>
      </w:r>
      <w:r w:rsidR="004A7628" w:rsidRPr="004A7628">
        <w:rPr>
          <w:rFonts w:ascii="Arial" w:hAnsi="Arial" w:cs="Arial"/>
        </w:rPr>
        <w:t xml:space="preserve">1885-1974) work has been continued by the </w:t>
      </w:r>
      <w:r w:rsidR="004A7628" w:rsidRPr="004A7628">
        <w:rPr>
          <w:rFonts w:ascii="Arial" w:hAnsi="Arial" w:cs="Arial"/>
          <w:i/>
          <w:iCs/>
        </w:rPr>
        <w:t>American Institute of Parliamentarians Standard of Code of Parliamentary Procedure</w:t>
      </w:r>
      <w:r w:rsidR="004A7628" w:rsidRPr="004A7628">
        <w:rPr>
          <w:rFonts w:ascii="Arial" w:hAnsi="Arial" w:cs="Arial"/>
        </w:rPr>
        <w:t xml:space="preserve"> (2012). McGraw-Hill Education.</w:t>
      </w:r>
    </w:p>
    <w:p w14:paraId="6DC54201" w14:textId="77777777" w:rsidR="004A7628" w:rsidRDefault="004A7628" w:rsidP="00E63B14">
      <w:pPr>
        <w:spacing w:after="0"/>
        <w:rPr>
          <w:rFonts w:ascii="Arial" w:hAnsi="Arial" w:cs="Arial"/>
          <w:b/>
        </w:rPr>
      </w:pPr>
    </w:p>
    <w:p w14:paraId="3B1F7C35" w14:textId="45F54783" w:rsidR="00E63B14" w:rsidRPr="003A4019" w:rsidRDefault="002D2BEF" w:rsidP="00E63B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Senate Procedures</w:t>
      </w:r>
    </w:p>
    <w:p w14:paraId="0A13FB33" w14:textId="0DC36C52" w:rsidR="00BB0B10" w:rsidRDefault="00BB0B10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Terms of officers begin on July 1</w:t>
      </w:r>
    </w:p>
    <w:p w14:paraId="359A2A2D" w14:textId="703CCFA8" w:rsidR="00E63B14" w:rsidRDefault="00BB0B10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For the Senate to conduct business, a quorum is </w:t>
      </w:r>
      <w:r w:rsidR="00B35914">
        <w:rPr>
          <w:rFonts w:ascii="Arial" w:hAnsi="Arial" w:cs="Arial"/>
          <w:iCs/>
        </w:rPr>
        <w:t>needed</w:t>
      </w:r>
      <w:r w:rsidR="003A4019" w:rsidRPr="003A4019">
        <w:rPr>
          <w:rFonts w:ascii="Arial" w:hAnsi="Arial" w:cs="Arial"/>
          <w:iCs/>
        </w:rPr>
        <w:t>;</w:t>
      </w:r>
    </w:p>
    <w:p w14:paraId="1CC20933" w14:textId="095CB71F" w:rsidR="00F85524" w:rsidRPr="00BB0B10" w:rsidRDefault="00F85524" w:rsidP="00BB0B10">
      <w:pPr>
        <w:pStyle w:val="ListParagraph"/>
        <w:numPr>
          <w:ilvl w:val="2"/>
          <w:numId w:val="14"/>
        </w:numPr>
        <w:rPr>
          <w:rFonts w:ascii="Arial" w:hAnsi="Arial" w:cs="Arial"/>
          <w:i/>
        </w:rPr>
      </w:pPr>
      <w:r w:rsidRPr="00BB0B10">
        <w:rPr>
          <w:rFonts w:ascii="Arial" w:hAnsi="Arial" w:cs="Arial"/>
          <w:i/>
        </w:rPr>
        <w:t>When 51% of the eligible voting members are present</w:t>
      </w:r>
      <w:r w:rsidR="00BB0B10">
        <w:rPr>
          <w:rFonts w:ascii="Arial" w:hAnsi="Arial" w:cs="Arial"/>
          <w:i/>
        </w:rPr>
        <w:t>;</w:t>
      </w:r>
    </w:p>
    <w:p w14:paraId="7489A085" w14:textId="0C5A6CB3" w:rsidR="00F85524" w:rsidRPr="00BB0B10" w:rsidRDefault="00F85524" w:rsidP="00BB0B10">
      <w:pPr>
        <w:pStyle w:val="ListParagraph"/>
        <w:numPr>
          <w:ilvl w:val="2"/>
          <w:numId w:val="14"/>
        </w:numPr>
        <w:rPr>
          <w:rFonts w:ascii="Arial" w:hAnsi="Arial" w:cs="Arial"/>
          <w:i/>
        </w:rPr>
      </w:pPr>
      <w:r w:rsidRPr="00BB0B10">
        <w:rPr>
          <w:rFonts w:ascii="Arial" w:hAnsi="Arial" w:cs="Arial"/>
          <w:i/>
        </w:rPr>
        <w:t xml:space="preserve">For 2021-2022, there are </w:t>
      </w:r>
      <w:r w:rsidR="00B55BB9">
        <w:rPr>
          <w:rFonts w:ascii="Arial" w:hAnsi="Arial" w:cs="Arial"/>
          <w:i/>
        </w:rPr>
        <w:t>54</w:t>
      </w:r>
      <w:r w:rsidRPr="00BB0B10">
        <w:rPr>
          <w:rFonts w:ascii="Arial" w:hAnsi="Arial" w:cs="Arial"/>
          <w:i/>
        </w:rPr>
        <w:t xml:space="preserve"> elected Senators</w:t>
      </w:r>
      <w:r w:rsidR="00BB0B10">
        <w:rPr>
          <w:rFonts w:ascii="Arial" w:hAnsi="Arial" w:cs="Arial"/>
          <w:i/>
        </w:rPr>
        <w:t>;</w:t>
      </w:r>
      <w:r w:rsidRPr="00BB0B10">
        <w:rPr>
          <w:rFonts w:ascii="Arial" w:hAnsi="Arial" w:cs="Arial"/>
          <w:i/>
        </w:rPr>
        <w:t xml:space="preserve"> and </w:t>
      </w:r>
    </w:p>
    <w:p w14:paraId="6A7D3138" w14:textId="1FACC7C0" w:rsidR="00BB0B10" w:rsidRPr="00BB0B10" w:rsidRDefault="00F85524" w:rsidP="00BB0B10">
      <w:pPr>
        <w:pStyle w:val="ListParagraph"/>
        <w:numPr>
          <w:ilvl w:val="2"/>
          <w:numId w:val="14"/>
        </w:numPr>
        <w:rPr>
          <w:rFonts w:ascii="Arial" w:hAnsi="Arial" w:cs="Arial"/>
          <w:i/>
        </w:rPr>
      </w:pPr>
      <w:r w:rsidRPr="00BB0B10">
        <w:rPr>
          <w:rFonts w:ascii="Arial" w:hAnsi="Arial" w:cs="Arial"/>
          <w:i/>
        </w:rPr>
        <w:t>The Chair and Vice-Chair are eligible to vote</w:t>
      </w:r>
      <w:r w:rsidR="00BB0B10" w:rsidRPr="00BB0B10">
        <w:rPr>
          <w:rFonts w:ascii="Arial" w:hAnsi="Arial" w:cs="Arial"/>
          <w:i/>
        </w:rPr>
        <w:t>.</w:t>
      </w:r>
    </w:p>
    <w:p w14:paraId="0D2BAF6D" w14:textId="77777777" w:rsidR="00BB0B10" w:rsidRPr="002D2BEF" w:rsidRDefault="00BB0B10" w:rsidP="002D2BEF">
      <w:pPr>
        <w:pStyle w:val="ListParagraph"/>
        <w:numPr>
          <w:ilvl w:val="0"/>
          <w:numId w:val="15"/>
        </w:numPr>
        <w:spacing w:after="0"/>
        <w:ind w:left="990" w:hanging="270"/>
        <w:rPr>
          <w:rFonts w:ascii="Arial" w:hAnsi="Arial" w:cs="Arial"/>
          <w:iCs/>
        </w:rPr>
      </w:pPr>
      <w:r w:rsidRPr="002D2BEF">
        <w:rPr>
          <w:rFonts w:ascii="Arial" w:hAnsi="Arial" w:cs="Arial"/>
          <w:iCs/>
        </w:rPr>
        <w:lastRenderedPageBreak/>
        <w:t>UAF Senate rules do not allow votes from the Ex Officio members (Chancellor, Provost, Deans, etc.) unless the individual is a duly elected member.</w:t>
      </w:r>
    </w:p>
    <w:p w14:paraId="4747BFD0" w14:textId="77777777" w:rsidR="002D2BEF" w:rsidRPr="003A4019" w:rsidRDefault="002D2BEF" w:rsidP="002D2BEF">
      <w:pPr>
        <w:pStyle w:val="ListParagraph"/>
        <w:numPr>
          <w:ilvl w:val="1"/>
          <w:numId w:val="4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Voting is conducted following Senate rules:</w:t>
      </w:r>
    </w:p>
    <w:p w14:paraId="26966DB9" w14:textId="77777777" w:rsidR="002D2BEF" w:rsidRPr="003A4019" w:rsidRDefault="002D2BEF" w:rsidP="002D2BE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Requires a majority or two-thirds (assuming a quorum is present) vote by the number of members voting;</w:t>
      </w:r>
    </w:p>
    <w:p w14:paraId="73FC1FE8" w14:textId="4E4C0D36" w:rsidR="002D2BEF" w:rsidRPr="003A4019" w:rsidRDefault="002D2BEF" w:rsidP="002D2BE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Abstentions (assuming a quorum is present) are not counted</w:t>
      </w:r>
      <w:r w:rsidR="00B35914">
        <w:rPr>
          <w:rFonts w:ascii="Arial" w:hAnsi="Arial" w:cs="Arial"/>
          <w:i/>
        </w:rPr>
        <w:t xml:space="preserve"> in voting</w:t>
      </w:r>
      <w:r w:rsidRPr="003A4019">
        <w:rPr>
          <w:rFonts w:ascii="Arial" w:hAnsi="Arial" w:cs="Arial"/>
          <w:i/>
        </w:rPr>
        <w:t>;</w:t>
      </w:r>
    </w:p>
    <w:p w14:paraId="2A60EEFC" w14:textId="08628C18" w:rsidR="002D2BEF" w:rsidRPr="003A4019" w:rsidRDefault="002D2BEF" w:rsidP="002D2BE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 xml:space="preserve">Proxy voting is </w:t>
      </w:r>
      <w:r w:rsidR="00B35914">
        <w:rPr>
          <w:rFonts w:ascii="Arial" w:hAnsi="Arial" w:cs="Arial"/>
          <w:i/>
        </w:rPr>
        <w:t>prohibited</w:t>
      </w:r>
      <w:r w:rsidRPr="003A4019">
        <w:rPr>
          <w:rFonts w:ascii="Arial" w:hAnsi="Arial" w:cs="Arial"/>
          <w:i/>
        </w:rPr>
        <w:t>;</w:t>
      </w:r>
      <w:r>
        <w:rPr>
          <w:rFonts w:ascii="Arial" w:hAnsi="Arial" w:cs="Arial"/>
          <w:i/>
        </w:rPr>
        <w:t xml:space="preserve"> and</w:t>
      </w:r>
    </w:p>
    <w:p w14:paraId="77838FAC" w14:textId="1A55BF38" w:rsidR="00BB0B10" w:rsidRPr="002D2BEF" w:rsidRDefault="002D2BEF" w:rsidP="002D2BEF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Members may request a secret ballot (majority vote if necessary).</w:t>
      </w:r>
    </w:p>
    <w:p w14:paraId="7650D8C3" w14:textId="1CCEC640" w:rsidR="00E63B14" w:rsidRPr="003A4019" w:rsidRDefault="00B35914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a</w:t>
      </w:r>
      <w:r w:rsidR="00E63B14" w:rsidRPr="003A4019">
        <w:rPr>
          <w:rFonts w:ascii="Arial" w:hAnsi="Arial" w:cs="Arial"/>
          <w:iCs/>
        </w:rPr>
        <w:t xml:space="preserve">genda </w:t>
      </w:r>
      <w:r w:rsidR="00F85524">
        <w:rPr>
          <w:rFonts w:ascii="Arial" w:hAnsi="Arial" w:cs="Arial"/>
          <w:iCs/>
        </w:rPr>
        <w:t>must be distributed no later than three days</w:t>
      </w:r>
      <w:r w:rsidR="00312356" w:rsidRPr="003A4019">
        <w:rPr>
          <w:rFonts w:ascii="Arial" w:hAnsi="Arial" w:cs="Arial"/>
          <w:iCs/>
        </w:rPr>
        <w:t xml:space="preserve"> </w:t>
      </w:r>
      <w:r w:rsidR="00E63B14" w:rsidRPr="003A4019">
        <w:rPr>
          <w:rFonts w:ascii="Arial" w:hAnsi="Arial" w:cs="Arial"/>
          <w:iCs/>
        </w:rPr>
        <w:t>in advance</w:t>
      </w:r>
      <w:r w:rsidR="00F85524">
        <w:rPr>
          <w:rFonts w:ascii="Arial" w:hAnsi="Arial" w:cs="Arial"/>
          <w:iCs/>
        </w:rPr>
        <w:t xml:space="preserve"> of Senate meeting</w:t>
      </w:r>
      <w:r w:rsidR="003A4019" w:rsidRPr="003A4019">
        <w:rPr>
          <w:rFonts w:ascii="Arial" w:hAnsi="Arial" w:cs="Arial"/>
          <w:iCs/>
        </w:rPr>
        <w:t>;</w:t>
      </w:r>
    </w:p>
    <w:p w14:paraId="18A0F713" w14:textId="77777777" w:rsidR="002D2BEF" w:rsidRPr="003A4019" w:rsidRDefault="002D2BEF" w:rsidP="002D2BEF">
      <w:pPr>
        <w:pStyle w:val="ListParagraph"/>
        <w:numPr>
          <w:ilvl w:val="0"/>
          <w:numId w:val="6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Senate Business is conducted following standard parliamentary procedures:</w:t>
      </w:r>
    </w:p>
    <w:p w14:paraId="72335084" w14:textId="77777777" w:rsidR="002D2BEF" w:rsidRPr="003A4019" w:rsidRDefault="002D2BEF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Agenda is initially set by Executive Committee;</w:t>
      </w:r>
    </w:p>
    <w:p w14:paraId="35A4D622" w14:textId="41354FB5" w:rsidR="002D2BEF" w:rsidRPr="003A4019" w:rsidRDefault="00893F2B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Informational r</w:t>
      </w:r>
      <w:r w:rsidR="002D2BEF" w:rsidRPr="003A4019">
        <w:rPr>
          <w:rFonts w:ascii="Arial" w:hAnsi="Arial" w:cs="Arial"/>
          <w:i/>
        </w:rPr>
        <w:t xml:space="preserve">eports </w:t>
      </w:r>
      <w:r>
        <w:rPr>
          <w:rFonts w:ascii="Arial" w:hAnsi="Arial" w:cs="Arial"/>
          <w:i/>
        </w:rPr>
        <w:t xml:space="preserve">by </w:t>
      </w:r>
      <w:r w:rsidR="002D2BEF" w:rsidRPr="003A4019">
        <w:rPr>
          <w:rFonts w:ascii="Arial" w:hAnsi="Arial" w:cs="Arial"/>
          <w:i/>
        </w:rPr>
        <w:t>individuals</w:t>
      </w:r>
      <w:r>
        <w:rPr>
          <w:rFonts w:ascii="Arial" w:hAnsi="Arial" w:cs="Arial"/>
          <w:i/>
        </w:rPr>
        <w:t xml:space="preserve"> or</w:t>
      </w:r>
      <w:r w:rsidR="002D2BEF" w:rsidRPr="003A4019">
        <w:rPr>
          <w:rFonts w:ascii="Arial" w:hAnsi="Arial" w:cs="Arial"/>
          <w:i/>
        </w:rPr>
        <w:t xml:space="preserve"> committees</w:t>
      </w:r>
      <w:r w:rsidR="002D2B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 not </w:t>
      </w:r>
      <w:r w:rsidR="00B35914">
        <w:rPr>
          <w:rFonts w:ascii="Arial" w:hAnsi="Arial" w:cs="Arial"/>
          <w:i/>
        </w:rPr>
        <w:t>need</w:t>
      </w:r>
      <w:r>
        <w:rPr>
          <w:rFonts w:ascii="Arial" w:hAnsi="Arial" w:cs="Arial"/>
          <w:i/>
        </w:rPr>
        <w:t xml:space="preserve"> a vote</w:t>
      </w:r>
      <w:r w:rsidR="002D2BEF" w:rsidRPr="003A4019">
        <w:rPr>
          <w:rFonts w:ascii="Arial" w:hAnsi="Arial" w:cs="Arial"/>
          <w:i/>
        </w:rPr>
        <w:t>;</w:t>
      </w:r>
    </w:p>
    <w:p w14:paraId="0FB7ABB3" w14:textId="7B59F53B" w:rsidR="002D2BEF" w:rsidRPr="003A4019" w:rsidRDefault="002D2BEF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 xml:space="preserve">Reports may </w:t>
      </w:r>
      <w:r w:rsidR="00B35914" w:rsidRPr="003A4019">
        <w:rPr>
          <w:rFonts w:ascii="Arial" w:hAnsi="Arial" w:cs="Arial"/>
          <w:i/>
        </w:rPr>
        <w:t>have</w:t>
      </w:r>
      <w:r w:rsidRPr="003A4019">
        <w:rPr>
          <w:rFonts w:ascii="Arial" w:hAnsi="Arial" w:cs="Arial"/>
          <w:i/>
        </w:rPr>
        <w:t xml:space="preserve"> </w:t>
      </w:r>
      <w:r w:rsidR="00893F2B">
        <w:rPr>
          <w:rFonts w:ascii="Arial" w:hAnsi="Arial" w:cs="Arial"/>
          <w:i/>
        </w:rPr>
        <w:t>one or more</w:t>
      </w:r>
      <w:r w:rsidRPr="003A4019">
        <w:rPr>
          <w:rFonts w:ascii="Arial" w:hAnsi="Arial" w:cs="Arial"/>
          <w:i/>
        </w:rPr>
        <w:t xml:space="preserve"> “main motion</w:t>
      </w:r>
      <w:r w:rsidR="00893F2B">
        <w:rPr>
          <w:rFonts w:ascii="Arial" w:hAnsi="Arial" w:cs="Arial"/>
          <w:i/>
        </w:rPr>
        <w:t>s.</w:t>
      </w:r>
      <w:r w:rsidRPr="003A4019">
        <w:rPr>
          <w:rFonts w:ascii="Arial" w:hAnsi="Arial" w:cs="Arial"/>
          <w:i/>
        </w:rPr>
        <w:t>”</w:t>
      </w:r>
      <w:r w:rsidR="00893F2B">
        <w:rPr>
          <w:rFonts w:ascii="Arial" w:hAnsi="Arial" w:cs="Arial"/>
          <w:i/>
        </w:rPr>
        <w:t xml:space="preserve">  At this time, Senators may only ask questions for the purpose of clarification</w:t>
      </w:r>
      <w:r w:rsidR="004A7628">
        <w:rPr>
          <w:rFonts w:ascii="Arial" w:hAnsi="Arial" w:cs="Arial"/>
          <w:i/>
        </w:rPr>
        <w:t xml:space="preserve"> and any d</w:t>
      </w:r>
      <w:r w:rsidR="00893F2B">
        <w:rPr>
          <w:rFonts w:ascii="Arial" w:hAnsi="Arial" w:cs="Arial"/>
          <w:i/>
        </w:rPr>
        <w:t xml:space="preserve">ebate is </w:t>
      </w:r>
      <w:r w:rsidR="004A7628">
        <w:rPr>
          <w:rFonts w:ascii="Arial" w:hAnsi="Arial" w:cs="Arial"/>
          <w:i/>
        </w:rPr>
        <w:t>prohibited</w:t>
      </w:r>
      <w:r w:rsidR="00893F2B">
        <w:rPr>
          <w:rFonts w:ascii="Arial" w:hAnsi="Arial" w:cs="Arial"/>
          <w:i/>
        </w:rPr>
        <w:t>.  At the next meeting of the Senate, d</w:t>
      </w:r>
      <w:r w:rsidRPr="003A4019">
        <w:rPr>
          <w:rFonts w:ascii="Arial" w:hAnsi="Arial" w:cs="Arial"/>
          <w:i/>
        </w:rPr>
        <w:t xml:space="preserve">ebate </w:t>
      </w:r>
      <w:r w:rsidR="00893F2B">
        <w:rPr>
          <w:rFonts w:ascii="Arial" w:hAnsi="Arial" w:cs="Arial"/>
          <w:i/>
        </w:rPr>
        <w:t xml:space="preserve">may occur, amendments may be offered, </w:t>
      </w:r>
      <w:r w:rsidRPr="003A4019">
        <w:rPr>
          <w:rFonts w:ascii="Arial" w:hAnsi="Arial" w:cs="Arial"/>
          <w:i/>
        </w:rPr>
        <w:t xml:space="preserve">and voting </w:t>
      </w:r>
      <w:r w:rsidR="00893F2B">
        <w:rPr>
          <w:rFonts w:ascii="Arial" w:hAnsi="Arial" w:cs="Arial"/>
          <w:i/>
        </w:rPr>
        <w:t>is allowed;</w:t>
      </w:r>
    </w:p>
    <w:p w14:paraId="1442A13C" w14:textId="6DA57205" w:rsidR="002D2BEF" w:rsidRPr="003A4019" w:rsidRDefault="00AF4AC6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Senator may move m</w:t>
      </w:r>
      <w:r w:rsidR="002D2BEF" w:rsidRPr="003A4019">
        <w:rPr>
          <w:rFonts w:ascii="Arial" w:hAnsi="Arial" w:cs="Arial"/>
          <w:i/>
        </w:rPr>
        <w:t>otions from the floor</w:t>
      </w:r>
      <w:r>
        <w:rPr>
          <w:rFonts w:ascii="Arial" w:hAnsi="Arial" w:cs="Arial"/>
          <w:i/>
        </w:rPr>
        <w:t xml:space="preserve">.  However, </w:t>
      </w:r>
      <w:r w:rsidR="00E64B66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same rules for </w:t>
      </w:r>
      <w:r w:rsidR="002D2BEF" w:rsidRPr="003A4019">
        <w:rPr>
          <w:rFonts w:ascii="Arial" w:hAnsi="Arial" w:cs="Arial"/>
          <w:i/>
        </w:rPr>
        <w:t>debate and vot</w:t>
      </w:r>
      <w:r>
        <w:rPr>
          <w:rFonts w:ascii="Arial" w:hAnsi="Arial" w:cs="Arial"/>
          <w:i/>
        </w:rPr>
        <w:t>ing</w:t>
      </w:r>
      <w:r w:rsidR="002D2BEF" w:rsidRPr="003A40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apply as noted previously</w:t>
      </w:r>
      <w:r w:rsidR="002D2BEF" w:rsidRPr="003A4019">
        <w:rPr>
          <w:rFonts w:ascii="Arial" w:hAnsi="Arial" w:cs="Arial"/>
          <w:i/>
        </w:rPr>
        <w:t>;</w:t>
      </w:r>
    </w:p>
    <w:p w14:paraId="5B303EE8" w14:textId="77777777" w:rsidR="002D2BEF" w:rsidRPr="003A4019" w:rsidRDefault="002D2BEF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Consent Agenda—voted on as a group, member may ask that an item be considered separately;</w:t>
      </w:r>
    </w:p>
    <w:p w14:paraId="64EA2864" w14:textId="42EC1F53" w:rsidR="002D2BEF" w:rsidRPr="003A4019" w:rsidRDefault="002D2BEF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 w:rsidRPr="003A4019">
        <w:rPr>
          <w:rFonts w:ascii="Arial" w:hAnsi="Arial" w:cs="Arial"/>
          <w:i/>
        </w:rPr>
        <w:t>Resolutions</w:t>
      </w:r>
      <w:r w:rsidR="00AF4AC6">
        <w:rPr>
          <w:rFonts w:ascii="Arial" w:hAnsi="Arial" w:cs="Arial"/>
          <w:i/>
        </w:rPr>
        <w:t xml:space="preserve"> are motions intended to </w:t>
      </w:r>
      <w:r w:rsidRPr="003A4019">
        <w:rPr>
          <w:rFonts w:ascii="Arial" w:hAnsi="Arial" w:cs="Arial"/>
          <w:i/>
        </w:rPr>
        <w:t>reflect the “sentiment” of the Senate</w:t>
      </w:r>
      <w:r w:rsidR="00AF4AC6">
        <w:rPr>
          <w:rFonts w:ascii="Arial" w:hAnsi="Arial" w:cs="Arial"/>
          <w:i/>
        </w:rPr>
        <w:t xml:space="preserve"> on an issue where the Senate does not have direct authority but believes is important.  Voting occurs following the motion and the resolution and </w:t>
      </w:r>
      <w:r w:rsidR="006C164F">
        <w:rPr>
          <w:rFonts w:ascii="Arial" w:hAnsi="Arial" w:cs="Arial"/>
          <w:i/>
        </w:rPr>
        <w:t xml:space="preserve">result of the </w:t>
      </w:r>
      <w:r w:rsidR="00AF4AC6">
        <w:rPr>
          <w:rFonts w:ascii="Arial" w:hAnsi="Arial" w:cs="Arial"/>
          <w:i/>
        </w:rPr>
        <w:t xml:space="preserve">vote </w:t>
      </w:r>
      <w:r w:rsidR="006C164F">
        <w:rPr>
          <w:rFonts w:ascii="Arial" w:hAnsi="Arial" w:cs="Arial"/>
          <w:i/>
        </w:rPr>
        <w:t>are</w:t>
      </w:r>
      <w:r w:rsidR="00AF4AC6">
        <w:rPr>
          <w:rFonts w:ascii="Arial" w:hAnsi="Arial" w:cs="Arial"/>
          <w:i/>
        </w:rPr>
        <w:t xml:space="preserve"> </w:t>
      </w:r>
      <w:r w:rsidRPr="003A4019">
        <w:rPr>
          <w:rFonts w:ascii="Arial" w:hAnsi="Arial" w:cs="Arial"/>
          <w:i/>
        </w:rPr>
        <w:t>entered into the minutes; and</w:t>
      </w:r>
    </w:p>
    <w:p w14:paraId="061C6391" w14:textId="602201BC" w:rsidR="002D2BEF" w:rsidRPr="00E64B66" w:rsidRDefault="00E64B66" w:rsidP="002D2BEF">
      <w:pPr>
        <w:pStyle w:val="ListParagraph"/>
        <w:numPr>
          <w:ilvl w:val="2"/>
          <w:numId w:val="13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</w:t>
      </w:r>
      <w:r w:rsidRPr="00E64B66">
        <w:rPr>
          <w:rFonts w:ascii="Arial" w:hAnsi="Arial" w:cs="Arial"/>
          <w:i/>
        </w:rPr>
        <w:t xml:space="preserve"> the perceived intent is to strategically close debate and prematurely stop discussion</w:t>
      </w:r>
      <w:r w:rsidR="006C164F">
        <w:rPr>
          <w:rFonts w:ascii="Arial" w:hAnsi="Arial" w:cs="Arial"/>
          <w:i/>
        </w:rPr>
        <w:t>, the</w:t>
      </w:r>
      <w:r w:rsidRPr="00E64B66">
        <w:rPr>
          <w:rFonts w:ascii="Arial" w:hAnsi="Arial" w:cs="Arial"/>
          <w:i/>
        </w:rPr>
        <w:t xml:space="preserve"> motion to</w:t>
      </w:r>
      <w:r w:rsidR="00EB407F" w:rsidRPr="00E64B66">
        <w:rPr>
          <w:rFonts w:ascii="Arial" w:hAnsi="Arial" w:cs="Arial"/>
          <w:i/>
        </w:rPr>
        <w:t xml:space="preserve"> “call the question” </w:t>
      </w:r>
      <w:r w:rsidRPr="00E64B66">
        <w:rPr>
          <w:rFonts w:ascii="Arial" w:hAnsi="Arial" w:cs="Arial"/>
          <w:i/>
        </w:rPr>
        <w:t>requires a second and passes only with a two-thirds vote</w:t>
      </w:r>
      <w:r w:rsidR="00EB407F" w:rsidRPr="00E64B66">
        <w:rPr>
          <w:rFonts w:ascii="Arial" w:hAnsi="Arial" w:cs="Arial"/>
          <w:i/>
        </w:rPr>
        <w:t xml:space="preserve">. </w:t>
      </w:r>
      <w:r w:rsidR="006C164F">
        <w:rPr>
          <w:rFonts w:ascii="Arial" w:hAnsi="Arial" w:cs="Arial"/>
          <w:i/>
        </w:rPr>
        <w:t>In most instances, the Chair of the Senate should simply rule that the motion is “out of order” because it seeks to stifle debate.</w:t>
      </w:r>
    </w:p>
    <w:p w14:paraId="76FB70B6" w14:textId="30C38816" w:rsidR="003D1C44" w:rsidRDefault="003D1C44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 xml:space="preserve">Only one main motion </w:t>
      </w:r>
      <w:r w:rsidR="006C164F">
        <w:rPr>
          <w:rFonts w:ascii="Arial" w:hAnsi="Arial" w:cs="Arial"/>
          <w:iCs/>
        </w:rPr>
        <w:t xml:space="preserve">may be considered </w:t>
      </w:r>
      <w:r w:rsidR="00B35914">
        <w:rPr>
          <w:rFonts w:ascii="Arial" w:hAnsi="Arial" w:cs="Arial"/>
          <w:iCs/>
        </w:rPr>
        <w:t xml:space="preserve">(or </w:t>
      </w:r>
      <w:r w:rsidR="006C164F">
        <w:rPr>
          <w:rFonts w:ascii="Arial" w:hAnsi="Arial" w:cs="Arial"/>
          <w:iCs/>
        </w:rPr>
        <w:t>be “</w:t>
      </w:r>
      <w:r w:rsidRPr="003A4019">
        <w:rPr>
          <w:rFonts w:ascii="Arial" w:hAnsi="Arial" w:cs="Arial"/>
          <w:iCs/>
        </w:rPr>
        <w:t>on the floor</w:t>
      </w:r>
      <w:r w:rsidR="006C164F">
        <w:rPr>
          <w:rFonts w:ascii="Arial" w:hAnsi="Arial" w:cs="Arial"/>
          <w:iCs/>
        </w:rPr>
        <w:t>”</w:t>
      </w:r>
      <w:r w:rsidR="00B35914">
        <w:rPr>
          <w:rFonts w:ascii="Arial" w:hAnsi="Arial" w:cs="Arial"/>
          <w:iCs/>
        </w:rPr>
        <w:t>)</w:t>
      </w:r>
      <w:r w:rsidRPr="003A4019">
        <w:rPr>
          <w:rFonts w:ascii="Arial" w:hAnsi="Arial" w:cs="Arial"/>
          <w:iCs/>
        </w:rPr>
        <w:t xml:space="preserve"> at a time</w:t>
      </w:r>
      <w:r w:rsidR="003A4019" w:rsidRPr="003A4019">
        <w:rPr>
          <w:rFonts w:ascii="Arial" w:hAnsi="Arial" w:cs="Arial"/>
          <w:iCs/>
        </w:rPr>
        <w:t>;</w:t>
      </w:r>
    </w:p>
    <w:p w14:paraId="4157EBBC" w14:textId="4BB7E02C" w:rsidR="00F85524" w:rsidRPr="003A4019" w:rsidRDefault="00F85524" w:rsidP="00F85524">
      <w:pPr>
        <w:pStyle w:val="ListParagraph"/>
        <w:numPr>
          <w:ilvl w:val="1"/>
          <w:numId w:val="4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 xml:space="preserve">A main motion (except to reconsider, rescind, or resume consideration) </w:t>
      </w:r>
      <w:r w:rsidR="006C164F">
        <w:rPr>
          <w:rFonts w:ascii="Arial" w:hAnsi="Arial" w:cs="Arial"/>
          <w:iCs/>
        </w:rPr>
        <w:t xml:space="preserve">may </w:t>
      </w:r>
      <w:r w:rsidRPr="003A4019">
        <w:rPr>
          <w:rFonts w:ascii="Arial" w:hAnsi="Arial" w:cs="Arial"/>
          <w:iCs/>
        </w:rPr>
        <w:t xml:space="preserve">not be voted upon at the meeting when introduced except under two </w:t>
      </w:r>
      <w:r w:rsidR="006C164F">
        <w:rPr>
          <w:rFonts w:ascii="Arial" w:hAnsi="Arial" w:cs="Arial"/>
          <w:iCs/>
        </w:rPr>
        <w:t xml:space="preserve">special </w:t>
      </w:r>
      <w:r w:rsidRPr="003A4019">
        <w:rPr>
          <w:rFonts w:ascii="Arial" w:hAnsi="Arial" w:cs="Arial"/>
          <w:iCs/>
        </w:rPr>
        <w:t>circumstances:</w:t>
      </w:r>
    </w:p>
    <w:p w14:paraId="64FB5613" w14:textId="7277D9A8" w:rsidR="00F85524" w:rsidRPr="003A4019" w:rsidRDefault="00BB0B10" w:rsidP="00F85524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F85524" w:rsidRPr="003A4019">
        <w:rPr>
          <w:rFonts w:ascii="Arial" w:hAnsi="Arial" w:cs="Arial"/>
          <w:i/>
        </w:rPr>
        <w:t>he motion is “pre-filed” and distributed to all voting Senators at least 24 hours prior to the meeting; or</w:t>
      </w:r>
    </w:p>
    <w:p w14:paraId="4A7D3B47" w14:textId="370A99C2" w:rsidR="00F85524" w:rsidRPr="00BB0B10" w:rsidRDefault="00BB0B10" w:rsidP="00BB0B10">
      <w:pPr>
        <w:pStyle w:val="ListParagraph"/>
        <w:numPr>
          <w:ilvl w:val="2"/>
          <w:numId w:val="12"/>
        </w:num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W</w:t>
      </w:r>
      <w:r w:rsidR="00F85524" w:rsidRPr="003A4019">
        <w:rPr>
          <w:rFonts w:ascii="Arial" w:hAnsi="Arial" w:cs="Arial"/>
          <w:i/>
        </w:rPr>
        <w:t xml:space="preserve">hen an issue </w:t>
      </w:r>
      <w:r w:rsidR="00B35914" w:rsidRPr="003A4019">
        <w:rPr>
          <w:rFonts w:ascii="Arial" w:hAnsi="Arial" w:cs="Arial"/>
          <w:i/>
        </w:rPr>
        <w:t>thought</w:t>
      </w:r>
      <w:r w:rsidR="00F85524" w:rsidRPr="003A4019">
        <w:rPr>
          <w:rFonts w:ascii="Arial" w:hAnsi="Arial" w:cs="Arial"/>
          <w:i/>
        </w:rPr>
        <w:t xml:space="preserve"> </w:t>
      </w:r>
      <w:r w:rsidR="00B35914">
        <w:rPr>
          <w:rFonts w:ascii="Arial" w:hAnsi="Arial" w:cs="Arial"/>
          <w:i/>
        </w:rPr>
        <w:t>to be</w:t>
      </w:r>
      <w:r w:rsidR="00F85524" w:rsidRPr="003A4019">
        <w:rPr>
          <w:rFonts w:ascii="Arial" w:hAnsi="Arial" w:cs="Arial"/>
          <w:i/>
        </w:rPr>
        <w:t xml:space="preserve"> “urgent” exists</w:t>
      </w:r>
      <w:r w:rsidR="002D2BEF">
        <w:rPr>
          <w:rFonts w:ascii="Arial" w:hAnsi="Arial" w:cs="Arial"/>
          <w:i/>
        </w:rPr>
        <w:t>, a</w:t>
      </w:r>
      <w:r w:rsidR="00F85524">
        <w:rPr>
          <w:rFonts w:ascii="Arial" w:hAnsi="Arial" w:cs="Arial"/>
          <w:i/>
        </w:rPr>
        <w:t xml:space="preserve"> Senator may move </w:t>
      </w:r>
      <w:r w:rsidR="00F85524" w:rsidRPr="003A4019">
        <w:rPr>
          <w:rFonts w:ascii="Arial" w:hAnsi="Arial" w:cs="Arial"/>
          <w:i/>
        </w:rPr>
        <w:t xml:space="preserve">to </w:t>
      </w:r>
      <w:r>
        <w:rPr>
          <w:rFonts w:ascii="Arial" w:hAnsi="Arial" w:cs="Arial"/>
          <w:i/>
        </w:rPr>
        <w:t xml:space="preserve">temporarily </w:t>
      </w:r>
      <w:r w:rsidR="00F85524" w:rsidRPr="003A4019">
        <w:rPr>
          <w:rFonts w:ascii="Arial" w:hAnsi="Arial" w:cs="Arial"/>
          <w:i/>
        </w:rPr>
        <w:t>“suspend the rules</w:t>
      </w:r>
      <w:r w:rsidR="00F85524">
        <w:rPr>
          <w:rFonts w:ascii="Arial" w:hAnsi="Arial" w:cs="Arial"/>
          <w:i/>
        </w:rPr>
        <w:t>.</w:t>
      </w:r>
      <w:r w:rsidR="00F85524" w:rsidRPr="003A4019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  <w:i/>
        </w:rPr>
        <w:t>To pass, the motion requires</w:t>
      </w:r>
      <w:r w:rsidR="00F85524" w:rsidRPr="003A4019">
        <w:rPr>
          <w:rFonts w:ascii="Arial" w:hAnsi="Arial" w:cs="Arial"/>
          <w:i/>
        </w:rPr>
        <w:t xml:space="preserve"> a two-third vote </w:t>
      </w:r>
      <w:r>
        <w:rPr>
          <w:rFonts w:ascii="Arial" w:hAnsi="Arial" w:cs="Arial"/>
          <w:i/>
        </w:rPr>
        <w:t>and applies only to that item of legislation.</w:t>
      </w:r>
      <w:r w:rsidR="00F85524" w:rsidRPr="003A4019">
        <w:rPr>
          <w:rFonts w:ascii="Arial" w:hAnsi="Arial" w:cs="Arial"/>
          <w:iCs/>
        </w:rPr>
        <w:t xml:space="preserve">  </w:t>
      </w:r>
    </w:p>
    <w:p w14:paraId="271FEA8F" w14:textId="5BA52A42" w:rsidR="00E63B14" w:rsidRPr="003A4019" w:rsidRDefault="00E63B14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 w:rsidRPr="003A4019">
        <w:rPr>
          <w:rFonts w:ascii="Arial" w:hAnsi="Arial" w:cs="Arial"/>
          <w:iCs/>
        </w:rPr>
        <w:t>Members have right to know and understand what is being debated/voted</w:t>
      </w:r>
      <w:r w:rsidR="000074DC" w:rsidRPr="003A4019">
        <w:rPr>
          <w:rFonts w:ascii="Arial" w:hAnsi="Arial" w:cs="Arial"/>
          <w:iCs/>
        </w:rPr>
        <w:t xml:space="preserve"> upon</w:t>
      </w:r>
      <w:r w:rsidR="003A4019" w:rsidRPr="003A4019">
        <w:rPr>
          <w:rFonts w:ascii="Arial" w:hAnsi="Arial" w:cs="Arial"/>
          <w:iCs/>
        </w:rPr>
        <w:t>;</w:t>
      </w:r>
    </w:p>
    <w:p w14:paraId="66CC4C29" w14:textId="51DD7E2C" w:rsidR="00312356" w:rsidRPr="003A4019" w:rsidRDefault="00E64B66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motions require a simple majority of the voting members to pass; and</w:t>
      </w:r>
    </w:p>
    <w:p w14:paraId="4692BF26" w14:textId="3F812051" w:rsidR="003D1C44" w:rsidRPr="003A4019" w:rsidRDefault="00E64B66" w:rsidP="006A305A">
      <w:pPr>
        <w:pStyle w:val="ListParagraph"/>
        <w:numPr>
          <w:ilvl w:val="1"/>
          <w:numId w:val="2"/>
        </w:numPr>
        <w:spacing w:after="0"/>
        <w:ind w:left="990" w:hanging="2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Senate </w:t>
      </w:r>
      <w:r w:rsidR="003D1C44" w:rsidRPr="003A4019">
        <w:rPr>
          <w:rFonts w:ascii="Arial" w:hAnsi="Arial" w:cs="Arial"/>
          <w:iCs/>
        </w:rPr>
        <w:t xml:space="preserve">Chair has </w:t>
      </w:r>
      <w:r>
        <w:rPr>
          <w:rFonts w:ascii="Arial" w:hAnsi="Arial" w:cs="Arial"/>
          <w:iCs/>
        </w:rPr>
        <w:t xml:space="preserve">an </w:t>
      </w:r>
      <w:r w:rsidR="003D1C44" w:rsidRPr="003A4019">
        <w:rPr>
          <w:rFonts w:ascii="Arial" w:hAnsi="Arial" w:cs="Arial"/>
          <w:iCs/>
        </w:rPr>
        <w:t xml:space="preserve">obligation to </w:t>
      </w:r>
      <w:r w:rsidR="00B35914" w:rsidRPr="003A4019">
        <w:rPr>
          <w:rFonts w:ascii="Arial" w:hAnsi="Arial" w:cs="Arial"/>
          <w:iCs/>
        </w:rPr>
        <w:t>keep</w:t>
      </w:r>
      <w:r w:rsidR="003D1C44" w:rsidRPr="003A4019">
        <w:rPr>
          <w:rFonts w:ascii="Arial" w:hAnsi="Arial" w:cs="Arial"/>
          <w:iCs/>
        </w:rPr>
        <w:t xml:space="preserve"> order but </w:t>
      </w:r>
      <w:r w:rsidR="006C164F">
        <w:rPr>
          <w:rFonts w:ascii="Arial" w:hAnsi="Arial" w:cs="Arial"/>
          <w:iCs/>
        </w:rPr>
        <w:t xml:space="preserve">also </w:t>
      </w:r>
      <w:r w:rsidR="003D1C44" w:rsidRPr="003A4019">
        <w:rPr>
          <w:rFonts w:ascii="Arial" w:hAnsi="Arial" w:cs="Arial"/>
          <w:iCs/>
        </w:rPr>
        <w:t xml:space="preserve">may </w:t>
      </w:r>
      <w:r w:rsidR="00F85524">
        <w:rPr>
          <w:rFonts w:ascii="Arial" w:hAnsi="Arial" w:cs="Arial"/>
          <w:iCs/>
        </w:rPr>
        <w:t>choose t</w:t>
      </w:r>
      <w:r w:rsidR="002D2BEF">
        <w:rPr>
          <w:rFonts w:ascii="Arial" w:hAnsi="Arial" w:cs="Arial"/>
          <w:iCs/>
        </w:rPr>
        <w:t>o</w:t>
      </w:r>
      <w:r w:rsidR="00F85524">
        <w:rPr>
          <w:rFonts w:ascii="Arial" w:hAnsi="Arial" w:cs="Arial"/>
          <w:iCs/>
        </w:rPr>
        <w:t xml:space="preserve"> </w:t>
      </w:r>
      <w:r w:rsidR="003D1C44" w:rsidRPr="003A4019">
        <w:rPr>
          <w:rFonts w:ascii="Arial" w:hAnsi="Arial" w:cs="Arial"/>
          <w:iCs/>
        </w:rPr>
        <w:t>engage in debate and vote</w:t>
      </w:r>
      <w:r w:rsidR="003A4019" w:rsidRPr="003A4019">
        <w:rPr>
          <w:rFonts w:ascii="Arial" w:hAnsi="Arial" w:cs="Arial"/>
          <w:iCs/>
        </w:rPr>
        <w:t>.</w:t>
      </w:r>
      <w:r w:rsidR="006C164F">
        <w:rPr>
          <w:rFonts w:ascii="Arial" w:hAnsi="Arial" w:cs="Arial"/>
          <w:iCs/>
        </w:rPr>
        <w:t xml:space="preserve"> In this instance, a tie-vote </w:t>
      </w:r>
      <w:r w:rsidR="00BD33B8">
        <w:rPr>
          <w:rFonts w:ascii="Arial" w:hAnsi="Arial" w:cs="Arial"/>
          <w:iCs/>
        </w:rPr>
        <w:t xml:space="preserve">means the legislation </w:t>
      </w:r>
      <w:r w:rsidR="00B35914">
        <w:rPr>
          <w:rFonts w:ascii="Arial" w:hAnsi="Arial" w:cs="Arial"/>
          <w:iCs/>
        </w:rPr>
        <w:t>does not</w:t>
      </w:r>
      <w:r w:rsidR="006C164F">
        <w:rPr>
          <w:rFonts w:ascii="Arial" w:hAnsi="Arial" w:cs="Arial"/>
          <w:iCs/>
        </w:rPr>
        <w:t xml:space="preserve"> pass.</w:t>
      </w:r>
    </w:p>
    <w:p w14:paraId="06BBF11F" w14:textId="77777777" w:rsidR="006A305A" w:rsidRPr="003A4019" w:rsidRDefault="006A305A" w:rsidP="00E63B14">
      <w:pPr>
        <w:spacing w:after="0"/>
        <w:rPr>
          <w:rFonts w:ascii="Arial" w:hAnsi="Arial" w:cs="Arial"/>
          <w:i/>
        </w:rPr>
      </w:pPr>
    </w:p>
    <w:p w14:paraId="55FAE62B" w14:textId="77777777" w:rsidR="00AA1BAD" w:rsidRPr="003A4019" w:rsidRDefault="00AA1BAD" w:rsidP="00E63B14">
      <w:pPr>
        <w:spacing w:after="0"/>
        <w:rPr>
          <w:rFonts w:ascii="Arial" w:hAnsi="Arial" w:cs="Arial"/>
        </w:rPr>
      </w:pPr>
    </w:p>
    <w:sectPr w:rsidR="00AA1BAD" w:rsidRPr="003A4019" w:rsidSect="00E2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C62C" w14:textId="77777777" w:rsidR="008E6253" w:rsidRDefault="008E6253" w:rsidP="00870644">
      <w:pPr>
        <w:spacing w:after="0" w:line="240" w:lineRule="auto"/>
      </w:pPr>
      <w:r>
        <w:separator/>
      </w:r>
    </w:p>
  </w:endnote>
  <w:endnote w:type="continuationSeparator" w:id="0">
    <w:p w14:paraId="5122450F" w14:textId="77777777" w:rsidR="008E6253" w:rsidRDefault="008E6253" w:rsidP="0087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C1C6" w14:textId="77777777" w:rsidR="008E6253" w:rsidRDefault="008E6253" w:rsidP="00870644">
      <w:pPr>
        <w:spacing w:after="0" w:line="240" w:lineRule="auto"/>
      </w:pPr>
      <w:r>
        <w:separator/>
      </w:r>
    </w:p>
  </w:footnote>
  <w:footnote w:type="continuationSeparator" w:id="0">
    <w:p w14:paraId="63318F9D" w14:textId="77777777" w:rsidR="008E6253" w:rsidRDefault="008E6253" w:rsidP="0087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534"/>
    <w:multiLevelType w:val="hybridMultilevel"/>
    <w:tmpl w:val="804ED2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6A1C38"/>
    <w:multiLevelType w:val="hybridMultilevel"/>
    <w:tmpl w:val="92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6EEC"/>
    <w:multiLevelType w:val="hybridMultilevel"/>
    <w:tmpl w:val="4BDA7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C5B4F"/>
    <w:multiLevelType w:val="hybridMultilevel"/>
    <w:tmpl w:val="54BAB3F6"/>
    <w:lvl w:ilvl="0" w:tplc="0409000B">
      <w:start w:val="1"/>
      <w:numFmt w:val="bullet"/>
      <w:lvlText w:val=""/>
      <w:lvlJc w:val="left"/>
      <w:pPr>
        <w:ind w:left="5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4" w15:restartNumberingAfterBreak="0">
    <w:nsid w:val="1A962401"/>
    <w:multiLevelType w:val="hybridMultilevel"/>
    <w:tmpl w:val="0A6A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87389"/>
    <w:multiLevelType w:val="hybridMultilevel"/>
    <w:tmpl w:val="4C8A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799"/>
    <w:multiLevelType w:val="hybridMultilevel"/>
    <w:tmpl w:val="4800BC3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88105EA"/>
    <w:multiLevelType w:val="hybridMultilevel"/>
    <w:tmpl w:val="3B6AD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954E0"/>
    <w:multiLevelType w:val="hybridMultilevel"/>
    <w:tmpl w:val="B416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1A960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0BA8"/>
    <w:multiLevelType w:val="hybridMultilevel"/>
    <w:tmpl w:val="D430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5799B"/>
    <w:multiLevelType w:val="hybridMultilevel"/>
    <w:tmpl w:val="EDD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A5204"/>
    <w:multiLevelType w:val="hybridMultilevel"/>
    <w:tmpl w:val="38D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7014"/>
    <w:multiLevelType w:val="hybridMultilevel"/>
    <w:tmpl w:val="EA7AF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72328"/>
    <w:multiLevelType w:val="hybridMultilevel"/>
    <w:tmpl w:val="DD4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1167"/>
    <w:multiLevelType w:val="hybridMultilevel"/>
    <w:tmpl w:val="9D88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E70BEA"/>
    <w:multiLevelType w:val="hybridMultilevel"/>
    <w:tmpl w:val="7C44C6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5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4"/>
    <w:rsid w:val="000074DC"/>
    <w:rsid w:val="00116751"/>
    <w:rsid w:val="001A43FE"/>
    <w:rsid w:val="001B52D9"/>
    <w:rsid w:val="001E71CE"/>
    <w:rsid w:val="002D2BEF"/>
    <w:rsid w:val="00312356"/>
    <w:rsid w:val="003A4019"/>
    <w:rsid w:val="003D1C44"/>
    <w:rsid w:val="003F6A2A"/>
    <w:rsid w:val="00400EB9"/>
    <w:rsid w:val="004A5CFC"/>
    <w:rsid w:val="004A7628"/>
    <w:rsid w:val="004E1B3C"/>
    <w:rsid w:val="00570A6A"/>
    <w:rsid w:val="006A183F"/>
    <w:rsid w:val="006A305A"/>
    <w:rsid w:val="006B79EE"/>
    <w:rsid w:val="006C164F"/>
    <w:rsid w:val="006F586C"/>
    <w:rsid w:val="00752406"/>
    <w:rsid w:val="007A218F"/>
    <w:rsid w:val="007E4785"/>
    <w:rsid w:val="0085321C"/>
    <w:rsid w:val="00856218"/>
    <w:rsid w:val="00870644"/>
    <w:rsid w:val="00893F2B"/>
    <w:rsid w:val="008E6253"/>
    <w:rsid w:val="00944D50"/>
    <w:rsid w:val="009F024B"/>
    <w:rsid w:val="00A60915"/>
    <w:rsid w:val="00A61216"/>
    <w:rsid w:val="00AA1BAD"/>
    <w:rsid w:val="00AF1D6C"/>
    <w:rsid w:val="00AF4AC6"/>
    <w:rsid w:val="00B35914"/>
    <w:rsid w:val="00B421F6"/>
    <w:rsid w:val="00B52BA7"/>
    <w:rsid w:val="00B55BB9"/>
    <w:rsid w:val="00BB0B10"/>
    <w:rsid w:val="00BD33B8"/>
    <w:rsid w:val="00C53208"/>
    <w:rsid w:val="00C5481A"/>
    <w:rsid w:val="00C91563"/>
    <w:rsid w:val="00CF0A7E"/>
    <w:rsid w:val="00DC1936"/>
    <w:rsid w:val="00E17888"/>
    <w:rsid w:val="00E245E8"/>
    <w:rsid w:val="00E63B14"/>
    <w:rsid w:val="00E64B66"/>
    <w:rsid w:val="00EA2509"/>
    <w:rsid w:val="00EB407F"/>
    <w:rsid w:val="00EE1FA6"/>
    <w:rsid w:val="00F162E7"/>
    <w:rsid w:val="00F3677F"/>
    <w:rsid w:val="00F370CE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AC478"/>
  <w15:docId w15:val="{789F2284-30AA-4F3C-9527-2B9EA61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4D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4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44"/>
  </w:style>
  <w:style w:type="paragraph" w:styleId="Footer">
    <w:name w:val="footer"/>
    <w:basedOn w:val="Normal"/>
    <w:link w:val="FooterChar"/>
    <w:uiPriority w:val="99"/>
    <w:unhideWhenUsed/>
    <w:rsid w:val="00870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44"/>
  </w:style>
  <w:style w:type="character" w:styleId="FollowedHyperlink">
    <w:name w:val="FollowedHyperlink"/>
    <w:basedOn w:val="DefaultParagraphFont"/>
    <w:uiPriority w:val="99"/>
    <w:semiHidden/>
    <w:unhideWhenUsed/>
    <w:rsid w:val="00F85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ark.edu/campus-governance/facult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ost.uark.edu/faculty-handbook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asys.edu/wp-content/uploads/sites/16/2018/04/810.1-UAF-Local-Campus-Govern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M. Brady</dc:creator>
  <cp:lastModifiedBy>Mary Savin</cp:lastModifiedBy>
  <cp:revision>4</cp:revision>
  <dcterms:created xsi:type="dcterms:W3CDTF">2021-10-10T20:35:00Z</dcterms:created>
  <dcterms:modified xsi:type="dcterms:W3CDTF">2021-10-10T20:42:00Z</dcterms:modified>
</cp:coreProperties>
</file>