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E9263" w14:textId="3668C59A" w:rsidR="008F1EF1" w:rsidRDefault="00604021" w:rsidP="00510C5A">
      <w:pPr>
        <w:pStyle w:val="Heading1"/>
        <w:spacing w:line="240" w:lineRule="auto"/>
        <w:jc w:val="center"/>
      </w:pPr>
      <w:r>
        <w:t>P</w:t>
      </w:r>
      <w:r w:rsidR="00BE5FD7">
        <w:t>rotection of Human Subjects in Research</w:t>
      </w:r>
    </w:p>
    <w:p w14:paraId="6D32AE86" w14:textId="3125913A" w:rsidR="005F7FE2" w:rsidRDefault="005F7FE2" w:rsidP="006C1C93">
      <w:pPr>
        <w:spacing w:after="0" w:line="240" w:lineRule="auto"/>
      </w:pPr>
    </w:p>
    <w:p w14:paraId="018ADCE0" w14:textId="045B90AB" w:rsidR="008E68B9" w:rsidRDefault="008E68B9" w:rsidP="00504F61">
      <w:pPr>
        <w:pStyle w:val="ListParagraph"/>
        <w:numPr>
          <w:ilvl w:val="0"/>
          <w:numId w:val="11"/>
        </w:numPr>
        <w:spacing w:after="160"/>
        <w:ind w:left="1080"/>
      </w:pPr>
      <w:r>
        <w:rPr>
          <w:b/>
        </w:rPr>
        <w:t>Purpose</w:t>
      </w:r>
    </w:p>
    <w:p w14:paraId="4C5E4902" w14:textId="15D2A839" w:rsidR="008F1EF1" w:rsidRDefault="00D6075B" w:rsidP="0004531C">
      <w:pPr>
        <w:spacing w:after="160"/>
        <w:ind w:left="1080" w:firstLine="0"/>
      </w:pPr>
      <w:r>
        <w:t xml:space="preserve">The following is the policy of the University of Arkansas, Fayetteville (hereafter referred to as the University) regarding </w:t>
      </w:r>
      <w:r w:rsidR="00FE2F36">
        <w:t>the protection of human subjects in research</w:t>
      </w:r>
      <w:r>
        <w:t>.</w:t>
      </w:r>
      <w:r w:rsidR="00FE2F36">
        <w:t xml:space="preserve"> It applies to all University research activities and to all employees and other persons acting as representatives of the University, including at off-campus locations.</w:t>
      </w:r>
      <w:r w:rsidR="00AB0DD0">
        <w:t xml:space="preserve"> </w:t>
      </w:r>
    </w:p>
    <w:p w14:paraId="1B401128" w14:textId="2FC7CF65" w:rsidR="008E68B9" w:rsidRPr="008E68B9" w:rsidRDefault="008E68B9" w:rsidP="0004531C">
      <w:pPr>
        <w:pStyle w:val="ListParagraph"/>
        <w:numPr>
          <w:ilvl w:val="0"/>
          <w:numId w:val="11"/>
        </w:numPr>
        <w:spacing w:after="160"/>
        <w:ind w:left="1080"/>
      </w:pPr>
      <w:r>
        <w:rPr>
          <w:b/>
        </w:rPr>
        <w:t>Policy</w:t>
      </w:r>
    </w:p>
    <w:p w14:paraId="246B0EA8" w14:textId="6B05419A" w:rsidR="009B4F54" w:rsidRDefault="009B4F54" w:rsidP="00061D75">
      <w:pPr>
        <w:numPr>
          <w:ilvl w:val="0"/>
          <w:numId w:val="1"/>
        </w:numPr>
        <w:spacing w:after="0" w:line="240" w:lineRule="auto"/>
        <w:ind w:left="1260" w:hanging="540"/>
      </w:pPr>
      <w:r>
        <w:t xml:space="preserve">The University adopts all the principles described in both the </w:t>
      </w:r>
      <w:hyperlink r:id="rId8" w:history="1">
        <w:r w:rsidRPr="008E68B9">
          <w:rPr>
            <w:rStyle w:val="Hyperlink"/>
          </w:rPr>
          <w:t>Nuremburg Code</w:t>
        </w:r>
      </w:hyperlink>
      <w:r>
        <w:t xml:space="preserve"> and the </w:t>
      </w:r>
      <w:hyperlink r:id="rId9" w:history="1">
        <w:r w:rsidRPr="008E68B9">
          <w:rPr>
            <w:rStyle w:val="Hyperlink"/>
          </w:rPr>
          <w:t>Belmont Report</w:t>
        </w:r>
      </w:hyperlink>
      <w:r>
        <w:t>.</w:t>
      </w:r>
    </w:p>
    <w:p w14:paraId="2AD54782" w14:textId="51D06368" w:rsidR="009B4F54" w:rsidRDefault="009B4F54" w:rsidP="009B4F54">
      <w:pPr>
        <w:spacing w:after="0" w:line="240" w:lineRule="auto"/>
        <w:ind w:left="719" w:firstLine="0"/>
      </w:pPr>
    </w:p>
    <w:p w14:paraId="41213682" w14:textId="431D185C" w:rsidR="00C115A3" w:rsidRDefault="0015665F" w:rsidP="00061D75">
      <w:pPr>
        <w:numPr>
          <w:ilvl w:val="0"/>
          <w:numId w:val="1"/>
        </w:numPr>
        <w:spacing w:after="0" w:line="240" w:lineRule="auto"/>
        <w:ind w:left="1260" w:hanging="540"/>
      </w:pPr>
      <w:r>
        <w:t xml:space="preserve">University activities that </w:t>
      </w:r>
      <w:r w:rsidR="007E343F">
        <w:t xml:space="preserve">a) </w:t>
      </w:r>
      <w:r>
        <w:t xml:space="preserve">involve human subjects, as defined by </w:t>
      </w:r>
      <w:r w:rsidR="002E1660">
        <w:t>the Department of Health and Human Services (</w:t>
      </w:r>
      <w:r>
        <w:t>HHS</w:t>
      </w:r>
      <w:r w:rsidR="002E1660">
        <w:t>)</w:t>
      </w:r>
      <w:r>
        <w:t xml:space="preserve"> or</w:t>
      </w:r>
      <w:r w:rsidR="002E1660">
        <w:t xml:space="preserve"> the Food and Drug Administration (</w:t>
      </w:r>
      <w:r>
        <w:t>FDA</w:t>
      </w:r>
      <w:r w:rsidR="002E1660">
        <w:t>)</w:t>
      </w:r>
      <w:r>
        <w:t xml:space="preserve">, and </w:t>
      </w:r>
      <w:r w:rsidR="007E343F">
        <w:t xml:space="preserve">b) </w:t>
      </w:r>
      <w:r>
        <w:t>that meet the definition of research as defined by either HHS or FDA, qualify as human subjects research and are subject to this policy, irrespective of funding source or status.</w:t>
      </w:r>
    </w:p>
    <w:p w14:paraId="0D7BB37E" w14:textId="77777777" w:rsidR="0015665F" w:rsidRDefault="0015665F" w:rsidP="0015665F">
      <w:pPr>
        <w:spacing w:after="0" w:line="240" w:lineRule="auto"/>
        <w:ind w:left="719" w:firstLine="0"/>
      </w:pPr>
    </w:p>
    <w:p w14:paraId="44310033" w14:textId="3F271F09" w:rsidR="0015665F" w:rsidRDefault="0015665F" w:rsidP="00B05082">
      <w:pPr>
        <w:numPr>
          <w:ilvl w:val="2"/>
          <w:numId w:val="1"/>
        </w:numPr>
        <w:spacing w:after="0" w:line="240" w:lineRule="auto"/>
        <w:ind w:left="1996" w:hanging="556"/>
      </w:pPr>
      <w:r>
        <w:t>A human subject is defined by HHS as a “living individual</w:t>
      </w:r>
      <w:r w:rsidR="00756F7A">
        <w:t xml:space="preserve"> about whom an investigator conducting research obtains (1) data through intervention or interaction with the individual, or (2) identifiable private information</w:t>
      </w:r>
      <w:r w:rsidR="0046269D">
        <w:t xml:space="preserve"> or biospecimens</w:t>
      </w:r>
      <w:r w:rsidR="00756F7A">
        <w:t>.</w:t>
      </w:r>
      <w:r w:rsidR="00A20015">
        <w:t>”</w:t>
      </w:r>
    </w:p>
    <w:p w14:paraId="1167CCFC" w14:textId="562FA741" w:rsidR="00A20015" w:rsidRDefault="00A20015" w:rsidP="00BC7A46">
      <w:pPr>
        <w:spacing w:after="0" w:line="240" w:lineRule="auto"/>
        <w:ind w:left="1439" w:firstLine="0"/>
        <w:jc w:val="both"/>
      </w:pPr>
    </w:p>
    <w:p w14:paraId="7D303BEE" w14:textId="2928FC4E" w:rsidR="00A20015" w:rsidRDefault="00A20015" w:rsidP="00BC7A46">
      <w:pPr>
        <w:spacing w:after="0" w:line="240" w:lineRule="auto"/>
        <w:ind w:left="1996" w:firstLine="0"/>
        <w:jc w:val="both"/>
      </w:pPr>
      <w:r>
        <w:t>The FDA defines a human subject as “an individual who is or becomes a participant in research, either as a recipient of the test article or as a control. A subject may be a healthy human or a patient.”</w:t>
      </w:r>
    </w:p>
    <w:p w14:paraId="2464167A" w14:textId="77777777" w:rsidR="00A20015" w:rsidRDefault="00A20015" w:rsidP="00BC7A46">
      <w:pPr>
        <w:spacing w:after="0" w:line="240" w:lineRule="auto"/>
        <w:ind w:left="1439" w:firstLine="0"/>
        <w:jc w:val="both"/>
      </w:pPr>
    </w:p>
    <w:p w14:paraId="50FB29EF" w14:textId="1A05447F" w:rsidR="00756F7A" w:rsidRDefault="00756F7A" w:rsidP="00B05082">
      <w:pPr>
        <w:numPr>
          <w:ilvl w:val="2"/>
          <w:numId w:val="1"/>
        </w:numPr>
        <w:spacing w:after="0" w:line="240" w:lineRule="auto"/>
        <w:ind w:left="1996" w:hanging="556"/>
      </w:pPr>
      <w:r>
        <w:t>HHS defines research as a systematic investigation, including research development, testing and evaluation, designed to develop or contribute to generalizable knowledge.</w:t>
      </w:r>
    </w:p>
    <w:p w14:paraId="57216B6A" w14:textId="3822B2F3" w:rsidR="00756F7A" w:rsidRDefault="00756F7A" w:rsidP="00BC7A46">
      <w:pPr>
        <w:spacing w:after="0" w:line="240" w:lineRule="auto"/>
        <w:ind w:left="936" w:firstLine="0"/>
      </w:pPr>
    </w:p>
    <w:p w14:paraId="2637EE45" w14:textId="6790013A" w:rsidR="00756F7A" w:rsidRPr="00C115A3" w:rsidRDefault="006054FC" w:rsidP="00BC7A46">
      <w:pPr>
        <w:spacing w:after="0" w:line="240" w:lineRule="auto"/>
        <w:ind w:left="1996" w:firstLine="0"/>
        <w:jc w:val="both"/>
      </w:pPr>
      <w:r>
        <w:t xml:space="preserve">The </w:t>
      </w:r>
      <w:r w:rsidR="00756F7A">
        <w:t>FDA defines clinical investigation to be synonymous with research and means any experiment that involves a test article and one or more human subjects</w:t>
      </w:r>
      <w:r w:rsidR="00A20015">
        <w:t>.</w:t>
      </w:r>
    </w:p>
    <w:p w14:paraId="4999E1E9" w14:textId="77777777" w:rsidR="00A20015" w:rsidRDefault="00A20015" w:rsidP="00A20015">
      <w:pPr>
        <w:spacing w:after="0"/>
        <w:ind w:left="719" w:firstLine="0"/>
      </w:pPr>
    </w:p>
    <w:p w14:paraId="5823B528" w14:textId="5280788C" w:rsidR="00A11FFF" w:rsidRDefault="00A111EC" w:rsidP="00061D75">
      <w:pPr>
        <w:numPr>
          <w:ilvl w:val="0"/>
          <w:numId w:val="1"/>
        </w:numPr>
        <w:spacing w:after="0" w:line="240" w:lineRule="auto"/>
        <w:ind w:left="1260" w:hanging="540"/>
      </w:pPr>
      <w:r>
        <w:t xml:space="preserve">University faculty, staff and students </w:t>
      </w:r>
      <w:r w:rsidR="006632FA">
        <w:t>wi</w:t>
      </w:r>
      <w:r>
        <w:t xml:space="preserve">ll comply with the authority and guidance </w:t>
      </w:r>
      <w:r w:rsidR="00EA1839">
        <w:t>of</w:t>
      </w:r>
      <w:r>
        <w:t xml:space="preserve"> </w:t>
      </w:r>
      <w:r w:rsidR="00325D5D">
        <w:t>HHS</w:t>
      </w:r>
      <w:r w:rsidR="00FE2F36">
        <w:t xml:space="preserve"> policies and procedures set forth in </w:t>
      </w:r>
      <w:hyperlink r:id="rId10" w:history="1">
        <w:r w:rsidR="00FE2F36" w:rsidRPr="007342A8">
          <w:rPr>
            <w:rStyle w:val="Hyperlink"/>
          </w:rPr>
          <w:t>45 CFR Part 46</w:t>
        </w:r>
      </w:hyperlink>
      <w:r w:rsidR="00FE2F36">
        <w:t xml:space="preserve">, Subparts A – D. Subpart A constitutes the Basic HHS Policy for Protection of Human Research Subjects, also known as the Common Rule, and represents the foundation for the protection of human subjects in research. As applicable, University faculty, staff and students shall comply with </w:t>
      </w:r>
      <w:r w:rsidR="00325D5D">
        <w:t xml:space="preserve">FDA </w:t>
      </w:r>
      <w:r w:rsidR="00FE2F36">
        <w:t>polic</w:t>
      </w:r>
      <w:r w:rsidR="00C115A3">
        <w:t>ies</w:t>
      </w:r>
      <w:r w:rsidR="00FE2F36">
        <w:t xml:space="preserve"> at </w:t>
      </w:r>
      <w:hyperlink r:id="rId11" w:history="1">
        <w:r w:rsidR="00FE2F36" w:rsidRPr="007342A8">
          <w:rPr>
            <w:rStyle w:val="Hyperlink"/>
          </w:rPr>
          <w:t>21 CFR Part 50</w:t>
        </w:r>
      </w:hyperlink>
      <w:r w:rsidR="00FE2F36">
        <w:t>, Protection</w:t>
      </w:r>
      <w:r w:rsidR="00C115A3">
        <w:t xml:space="preserve"> of Human Subjects and at </w:t>
      </w:r>
      <w:hyperlink r:id="rId12" w:history="1">
        <w:r w:rsidR="00C115A3" w:rsidRPr="007342A8">
          <w:rPr>
            <w:rStyle w:val="Hyperlink"/>
          </w:rPr>
          <w:t>21 CFR Part 56</w:t>
        </w:r>
      </w:hyperlink>
      <w:r w:rsidR="00C115A3">
        <w:t>, Institutional Review Boards.</w:t>
      </w:r>
    </w:p>
    <w:p w14:paraId="2D0DC585" w14:textId="77777777" w:rsidR="003D6907" w:rsidRDefault="003D6907" w:rsidP="00061D75">
      <w:pPr>
        <w:spacing w:after="0" w:line="240" w:lineRule="auto"/>
        <w:ind w:left="1260" w:firstLine="0"/>
      </w:pPr>
      <w:bookmarkStart w:id="0" w:name="_GoBack"/>
      <w:bookmarkEnd w:id="0"/>
    </w:p>
    <w:p w14:paraId="1794E6BD" w14:textId="4F7C47CF" w:rsidR="006742AE" w:rsidRPr="002952FD" w:rsidRDefault="006742AE" w:rsidP="00061D75">
      <w:pPr>
        <w:numPr>
          <w:ilvl w:val="0"/>
          <w:numId w:val="1"/>
        </w:numPr>
        <w:spacing w:after="0" w:line="240" w:lineRule="auto"/>
        <w:ind w:left="1260" w:hanging="540"/>
      </w:pPr>
      <w:r w:rsidRPr="002952FD">
        <w:lastRenderedPageBreak/>
        <w:t xml:space="preserve">As applicable, University faculty, staff and students </w:t>
      </w:r>
      <w:r w:rsidR="008E68B9" w:rsidRPr="002952FD">
        <w:t>wi</w:t>
      </w:r>
      <w:r w:rsidRPr="002952FD">
        <w:t xml:space="preserve">ll comply with the </w:t>
      </w:r>
      <w:hyperlink r:id="rId13" w:history="1">
        <w:r w:rsidRPr="002952FD">
          <w:rPr>
            <w:rStyle w:val="Hyperlink"/>
          </w:rPr>
          <w:t>General Data Protection Regulation</w:t>
        </w:r>
      </w:hyperlink>
      <w:r w:rsidRPr="002952FD">
        <w:t xml:space="preserve"> pertaining to privacy and data protection for all individuals within the European Union and the European Economic Area. </w:t>
      </w:r>
    </w:p>
    <w:p w14:paraId="01E75507" w14:textId="77777777" w:rsidR="008E68B9" w:rsidRDefault="008E68B9" w:rsidP="003D6907">
      <w:pPr>
        <w:spacing w:after="0" w:line="240" w:lineRule="auto"/>
        <w:ind w:left="719" w:firstLine="0"/>
      </w:pPr>
    </w:p>
    <w:p w14:paraId="2E0EBD04" w14:textId="4956FC95" w:rsidR="003D6907" w:rsidRPr="008E68B9" w:rsidRDefault="008E68B9" w:rsidP="0004531C">
      <w:pPr>
        <w:pStyle w:val="ListParagraph"/>
        <w:numPr>
          <w:ilvl w:val="0"/>
          <w:numId w:val="11"/>
        </w:numPr>
        <w:spacing w:after="160"/>
        <w:ind w:left="1080"/>
        <w:rPr>
          <w:b/>
        </w:rPr>
      </w:pPr>
      <w:r w:rsidRPr="008E68B9">
        <w:rPr>
          <w:b/>
        </w:rPr>
        <w:t>IRB Responsibilities</w:t>
      </w:r>
    </w:p>
    <w:p w14:paraId="37BCB420" w14:textId="757602E5" w:rsidR="00B141CD" w:rsidRDefault="005806ED" w:rsidP="00061D75">
      <w:pPr>
        <w:numPr>
          <w:ilvl w:val="0"/>
          <w:numId w:val="16"/>
        </w:numPr>
        <w:tabs>
          <w:tab w:val="left" w:pos="900"/>
        </w:tabs>
        <w:spacing w:after="0" w:line="240" w:lineRule="auto"/>
        <w:ind w:left="1260" w:hanging="540"/>
      </w:pPr>
      <w:r>
        <w:t>T</w:t>
      </w:r>
      <w:r w:rsidR="00603ADF">
        <w:t xml:space="preserve">he University shall constitute an Institutional </w:t>
      </w:r>
      <w:r>
        <w:t>Review Board</w:t>
      </w:r>
      <w:r w:rsidR="00F851B0">
        <w:t xml:space="preserve"> (IRB)</w:t>
      </w:r>
      <w:r>
        <w:t xml:space="preserve"> with members nominated</w:t>
      </w:r>
      <w:r w:rsidR="00DE329C">
        <w:t xml:space="preserve"> </w:t>
      </w:r>
      <w:r w:rsidR="003F5C46">
        <w:t xml:space="preserve">by the Vice Chancellor for Research and </w:t>
      </w:r>
      <w:r w:rsidR="00595762">
        <w:t>Innovation</w:t>
      </w:r>
      <w:r w:rsidR="003F5C46">
        <w:t xml:space="preserve"> or the Committee on Committees and</w:t>
      </w:r>
      <w:r w:rsidR="00603ADF">
        <w:t xml:space="preserve"> appointed by the Provost and Executive Vice Chancellor for Academic Affairs</w:t>
      </w:r>
      <w:r w:rsidR="004E21B0">
        <w:t xml:space="preserve"> (Provost)</w:t>
      </w:r>
      <w:r w:rsidR="00603ADF">
        <w:t>. The I</w:t>
      </w:r>
      <w:r w:rsidR="003F5C46">
        <w:t>RB</w:t>
      </w:r>
      <w:r w:rsidR="00603ADF">
        <w:t xml:space="preserve"> shall comprise, at a minimum, five members</w:t>
      </w:r>
      <w:r w:rsidR="003F5C46">
        <w:t xml:space="preserve"> with varying backgrounds to promote review of human subjects research conducted by the University</w:t>
      </w:r>
      <w:r w:rsidR="0002097F">
        <w:t>.</w:t>
      </w:r>
      <w:r w:rsidR="003F5C46">
        <w:t xml:space="preserve"> Membership must include the following:</w:t>
      </w:r>
    </w:p>
    <w:p w14:paraId="79B6B170" w14:textId="77777777" w:rsidR="00595762" w:rsidRDefault="00595762" w:rsidP="00595762">
      <w:pPr>
        <w:spacing w:after="0" w:line="240" w:lineRule="auto"/>
        <w:ind w:left="719" w:firstLine="0"/>
      </w:pPr>
    </w:p>
    <w:p w14:paraId="0CFB31DF" w14:textId="70C220E7" w:rsidR="003F5C46" w:rsidRDefault="003F5C46" w:rsidP="000E2D17">
      <w:pPr>
        <w:pStyle w:val="ListParagraph"/>
        <w:numPr>
          <w:ilvl w:val="0"/>
          <w:numId w:val="9"/>
        </w:numPr>
        <w:spacing w:after="353" w:line="240" w:lineRule="auto"/>
      </w:pPr>
      <w:r>
        <w:t>At least one member whose primary concerns are in a scientific area</w:t>
      </w:r>
      <w:r w:rsidR="00595762">
        <w:t>;</w:t>
      </w:r>
    </w:p>
    <w:p w14:paraId="60742731" w14:textId="315C1346" w:rsidR="003F5C46" w:rsidRDefault="003F5C46" w:rsidP="003F5C46">
      <w:pPr>
        <w:pStyle w:val="ListParagraph"/>
        <w:numPr>
          <w:ilvl w:val="0"/>
          <w:numId w:val="9"/>
        </w:numPr>
        <w:spacing w:after="353"/>
      </w:pPr>
      <w:r>
        <w:t>At least one member whose primary concerns are in a non-scientific area</w:t>
      </w:r>
      <w:r w:rsidR="00595762">
        <w:t>; and</w:t>
      </w:r>
    </w:p>
    <w:p w14:paraId="1AD6F5A1" w14:textId="345C1F66" w:rsidR="003F5C46" w:rsidRDefault="003F5C46" w:rsidP="00D6339E">
      <w:pPr>
        <w:pStyle w:val="ListParagraph"/>
        <w:numPr>
          <w:ilvl w:val="0"/>
          <w:numId w:val="9"/>
        </w:numPr>
        <w:spacing w:after="0" w:line="240" w:lineRule="auto"/>
      </w:pPr>
      <w:r>
        <w:t>At least one community member otherwise unaffiliated with the University</w:t>
      </w:r>
      <w:r w:rsidR="00595762">
        <w:t>.</w:t>
      </w:r>
    </w:p>
    <w:p w14:paraId="354CAB13" w14:textId="77777777" w:rsidR="00966909" w:rsidRDefault="00966909" w:rsidP="00966909">
      <w:pPr>
        <w:pStyle w:val="ListParagraph"/>
        <w:spacing w:after="0"/>
        <w:ind w:left="1800" w:firstLine="0"/>
      </w:pPr>
    </w:p>
    <w:p w14:paraId="2BFB9FE1" w14:textId="5E0857C0" w:rsidR="003F5C46" w:rsidRDefault="003F5C46" w:rsidP="00061D75">
      <w:pPr>
        <w:tabs>
          <w:tab w:val="left" w:pos="900"/>
        </w:tabs>
        <w:spacing w:after="0" w:line="240" w:lineRule="auto"/>
        <w:ind w:left="1260" w:firstLine="0"/>
      </w:pPr>
      <w:r>
        <w:t>The IRB will also include the following members:</w:t>
      </w:r>
    </w:p>
    <w:p w14:paraId="011B5412" w14:textId="77777777" w:rsidR="00966909" w:rsidRDefault="00966909" w:rsidP="00D6339E">
      <w:pPr>
        <w:spacing w:after="0" w:line="240" w:lineRule="auto"/>
        <w:ind w:left="729"/>
      </w:pPr>
    </w:p>
    <w:p w14:paraId="4494E16C" w14:textId="4D2D6405" w:rsidR="003F5C46" w:rsidRDefault="003F5C46" w:rsidP="003F5C46">
      <w:pPr>
        <w:pStyle w:val="ListParagraph"/>
        <w:numPr>
          <w:ilvl w:val="0"/>
          <w:numId w:val="10"/>
        </w:numPr>
        <w:spacing w:after="353"/>
      </w:pPr>
      <w:r>
        <w:t>One graduate student</w:t>
      </w:r>
      <w:r w:rsidR="00595762">
        <w:t>;</w:t>
      </w:r>
    </w:p>
    <w:p w14:paraId="79FD3134" w14:textId="7B50BBB0" w:rsidR="003F5C46" w:rsidRDefault="003F5C46" w:rsidP="003F5C46">
      <w:pPr>
        <w:pStyle w:val="ListParagraph"/>
        <w:numPr>
          <w:ilvl w:val="0"/>
          <w:numId w:val="10"/>
        </w:numPr>
        <w:spacing w:after="353"/>
      </w:pPr>
      <w:r>
        <w:t xml:space="preserve">Two </w:t>
      </w:r>
      <w:r w:rsidR="000D4F85">
        <w:t xml:space="preserve">or three </w:t>
      </w:r>
      <w:r>
        <w:t>faculty members each from the College of Education and Health Professions and Fulbright College of Arts and Sciences</w:t>
      </w:r>
      <w:r w:rsidR="00595762">
        <w:t>;</w:t>
      </w:r>
    </w:p>
    <w:p w14:paraId="228C6FE6" w14:textId="34F64C01" w:rsidR="003F5C46" w:rsidRDefault="003F5C46" w:rsidP="003F5C46">
      <w:pPr>
        <w:pStyle w:val="ListParagraph"/>
        <w:numPr>
          <w:ilvl w:val="0"/>
          <w:numId w:val="10"/>
        </w:numPr>
        <w:spacing w:after="353"/>
      </w:pPr>
      <w:r>
        <w:t>One faculty member from each of the following colleges: Walton College of Business; Bumpers College; the College of Engineering; the School of Architecture; and the School of Law</w:t>
      </w:r>
      <w:r w:rsidR="00595762">
        <w:t>;</w:t>
      </w:r>
    </w:p>
    <w:p w14:paraId="79966A8F" w14:textId="0C1BA094" w:rsidR="003F5C46" w:rsidRPr="00A63D84" w:rsidRDefault="00A63D84" w:rsidP="003F5C46">
      <w:pPr>
        <w:pStyle w:val="ListParagraph"/>
        <w:numPr>
          <w:ilvl w:val="0"/>
          <w:numId w:val="10"/>
        </w:numPr>
        <w:spacing w:after="353"/>
      </w:pPr>
      <w:r>
        <w:rPr>
          <w:i/>
        </w:rPr>
        <w:t>Ex officio</w:t>
      </w:r>
      <w:r>
        <w:rPr>
          <w:rFonts w:asciiTheme="minorHAnsi" w:hAnsiTheme="minorHAnsi" w:cstheme="minorBidi"/>
        </w:rPr>
        <w:t xml:space="preserve"> and voting, the Director of University Health Services</w:t>
      </w:r>
      <w:r w:rsidR="00595762">
        <w:rPr>
          <w:rFonts w:asciiTheme="minorHAnsi" w:hAnsiTheme="minorHAnsi" w:cstheme="minorBidi"/>
        </w:rPr>
        <w:t>; and</w:t>
      </w:r>
    </w:p>
    <w:p w14:paraId="6FB6685E" w14:textId="1AEBF58E" w:rsidR="00A63D84" w:rsidRDefault="00A63D84" w:rsidP="00D6339E">
      <w:pPr>
        <w:pStyle w:val="ListParagraph"/>
        <w:numPr>
          <w:ilvl w:val="0"/>
          <w:numId w:val="10"/>
        </w:numPr>
        <w:spacing w:after="353" w:line="240" w:lineRule="auto"/>
      </w:pPr>
      <w:r>
        <w:rPr>
          <w:i/>
        </w:rPr>
        <w:t>Ex officio</w:t>
      </w:r>
      <w:r>
        <w:t xml:space="preserve"> and non-voting, the Director of Research Compliance</w:t>
      </w:r>
      <w:r w:rsidR="00595762">
        <w:t>.</w:t>
      </w:r>
    </w:p>
    <w:p w14:paraId="03E6A6BE" w14:textId="008CC75F" w:rsidR="00135D73" w:rsidRDefault="00487F24" w:rsidP="00061D75">
      <w:pPr>
        <w:tabs>
          <w:tab w:val="left" w:pos="900"/>
        </w:tabs>
        <w:spacing w:after="0" w:line="240" w:lineRule="auto"/>
        <w:ind w:left="1260" w:firstLine="0"/>
      </w:pPr>
      <w:r>
        <w:t>For review of protocols that involve one or more categories of vulnerable research subjects (</w:t>
      </w:r>
      <w:r w:rsidRPr="00061D75">
        <w:t>e.g.</w:t>
      </w:r>
      <w:r>
        <w:t xml:space="preserve"> children, prisoners, pregnant women, or handicapped or mentally disabled persons), the IRB </w:t>
      </w:r>
      <w:r w:rsidR="00595762">
        <w:t>will</w:t>
      </w:r>
      <w:r>
        <w:t xml:space="preserve"> ensure that members are sufficiently knowledgeable and experienced in working with these populations. A non-voting expert consultant may be appointed on an </w:t>
      </w:r>
      <w:r w:rsidRPr="00061D75">
        <w:t>ad hoc</w:t>
      </w:r>
      <w:r>
        <w:t xml:space="preserve"> basis to provide the necessary expertise for review of these protocols.</w:t>
      </w:r>
      <w:r w:rsidR="00823A25">
        <w:t xml:space="preserve"> For protocols involving prisoners, at least one voting member must be either a prisoner or a prisoner representative with the appropriate background and knowledge to serve in that capacity.</w:t>
      </w:r>
    </w:p>
    <w:p w14:paraId="33C92602" w14:textId="77777777" w:rsidR="00840590" w:rsidRPr="00487F24" w:rsidRDefault="00840590" w:rsidP="00840590">
      <w:pPr>
        <w:spacing w:after="0"/>
        <w:ind w:left="729"/>
      </w:pPr>
    </w:p>
    <w:p w14:paraId="616DBA52" w14:textId="5DC17163" w:rsidR="00C74452" w:rsidRDefault="005F441F" w:rsidP="00061D75">
      <w:pPr>
        <w:numPr>
          <w:ilvl w:val="0"/>
          <w:numId w:val="16"/>
        </w:numPr>
        <w:tabs>
          <w:tab w:val="left" w:pos="900"/>
        </w:tabs>
        <w:spacing w:after="0" w:line="240" w:lineRule="auto"/>
        <w:ind w:left="1260" w:hanging="540"/>
      </w:pPr>
      <w:r>
        <w:t xml:space="preserve">The IRB is registered with </w:t>
      </w:r>
      <w:hyperlink r:id="rId14" w:history="1">
        <w:r w:rsidR="00966909" w:rsidRPr="00B0786F">
          <w:rPr>
            <w:rStyle w:val="Hyperlink"/>
          </w:rPr>
          <w:t>HHS</w:t>
        </w:r>
        <w:r w:rsidR="0056112B" w:rsidRPr="00B0786F">
          <w:rPr>
            <w:rStyle w:val="Hyperlink"/>
          </w:rPr>
          <w:t xml:space="preserve"> Office of Human Research Protections</w:t>
        </w:r>
      </w:hyperlink>
      <w:r w:rsidR="0056112B">
        <w:t xml:space="preserve"> (OHRP)</w:t>
      </w:r>
      <w:r w:rsidR="00966909">
        <w:t>. The</w:t>
      </w:r>
      <w:r w:rsidR="00C74452">
        <w:t xml:space="preserve"> </w:t>
      </w:r>
    </w:p>
    <w:p w14:paraId="135F6579" w14:textId="3FEF7BD0" w:rsidR="005F441F" w:rsidRDefault="00966909" w:rsidP="00061D75">
      <w:pPr>
        <w:tabs>
          <w:tab w:val="left" w:pos="900"/>
        </w:tabs>
        <w:spacing w:after="0" w:line="240" w:lineRule="auto"/>
        <w:ind w:left="1260" w:firstLine="0"/>
      </w:pPr>
      <w:r>
        <w:t>registration is renewed on a triennial basis.</w:t>
      </w:r>
    </w:p>
    <w:p w14:paraId="091BC27A" w14:textId="73B66DA1" w:rsidR="00966909" w:rsidRDefault="00966909" w:rsidP="00061D75">
      <w:pPr>
        <w:tabs>
          <w:tab w:val="left" w:pos="900"/>
        </w:tabs>
        <w:spacing w:after="0" w:line="240" w:lineRule="auto"/>
        <w:ind w:left="1260" w:firstLine="0"/>
      </w:pPr>
    </w:p>
    <w:p w14:paraId="4CE92008" w14:textId="261E71A5" w:rsidR="00B141CD" w:rsidRDefault="00130F76" w:rsidP="00061D75">
      <w:pPr>
        <w:numPr>
          <w:ilvl w:val="0"/>
          <w:numId w:val="16"/>
        </w:numPr>
        <w:tabs>
          <w:tab w:val="left" w:pos="900"/>
        </w:tabs>
        <w:spacing w:after="0" w:line="240" w:lineRule="auto"/>
        <w:ind w:left="1260" w:hanging="540"/>
      </w:pPr>
      <w:r>
        <w:t>On behalf of the University, the I</w:t>
      </w:r>
      <w:r w:rsidR="000E2D17">
        <w:t>R</w:t>
      </w:r>
      <w:r>
        <w:t xml:space="preserve">B has the following </w:t>
      </w:r>
      <w:r w:rsidR="002D05F8">
        <w:t>functions</w:t>
      </w:r>
      <w:r>
        <w:t>:</w:t>
      </w:r>
    </w:p>
    <w:p w14:paraId="613A4C01" w14:textId="77777777" w:rsidR="00966909" w:rsidRDefault="00966909" w:rsidP="00061D75">
      <w:pPr>
        <w:tabs>
          <w:tab w:val="left" w:pos="900"/>
        </w:tabs>
        <w:spacing w:after="0" w:line="240" w:lineRule="auto"/>
        <w:ind w:left="1260" w:firstLine="0"/>
      </w:pPr>
    </w:p>
    <w:p w14:paraId="6D459F31" w14:textId="776B079C" w:rsidR="00130F76" w:rsidRDefault="00130F76" w:rsidP="00BC7A46">
      <w:pPr>
        <w:numPr>
          <w:ilvl w:val="2"/>
          <w:numId w:val="1"/>
        </w:numPr>
        <w:spacing w:after="0" w:line="240" w:lineRule="auto"/>
        <w:ind w:left="1980" w:hanging="540"/>
        <w:jc w:val="both"/>
      </w:pPr>
      <w:r>
        <w:lastRenderedPageBreak/>
        <w:t xml:space="preserve">Review and </w:t>
      </w:r>
      <w:r w:rsidR="00882D8C">
        <w:t xml:space="preserve">vote on approval of all </w:t>
      </w:r>
      <w:r w:rsidR="002D23D4">
        <w:t xml:space="preserve">non-exempt </w:t>
      </w:r>
      <w:r w:rsidR="00882D8C">
        <w:t>protocols</w:t>
      </w:r>
      <w:r w:rsidR="000E2D17">
        <w:t xml:space="preserve"> and amendments to protocols that involve activities meeting the definition of human subjects research as described in Section </w:t>
      </w:r>
      <w:r w:rsidR="007D5014">
        <w:t>I</w:t>
      </w:r>
      <w:r w:rsidR="000E2D17">
        <w:t>I</w:t>
      </w:r>
      <w:r w:rsidR="00BC367F">
        <w:t>;</w:t>
      </w:r>
    </w:p>
    <w:p w14:paraId="16126236" w14:textId="77777777" w:rsidR="006107D9" w:rsidRDefault="006107D9" w:rsidP="00BC7A46">
      <w:pPr>
        <w:tabs>
          <w:tab w:val="left" w:pos="900"/>
        </w:tabs>
        <w:spacing w:after="0" w:line="240" w:lineRule="auto"/>
        <w:ind w:left="1980" w:hanging="540"/>
      </w:pPr>
    </w:p>
    <w:p w14:paraId="4E5E2881" w14:textId="76A89DF6" w:rsidR="002D23D4" w:rsidRDefault="002D23D4" w:rsidP="002537C5">
      <w:pPr>
        <w:numPr>
          <w:ilvl w:val="2"/>
          <w:numId w:val="1"/>
        </w:numPr>
        <w:spacing w:after="0" w:line="240" w:lineRule="auto"/>
        <w:ind w:left="1980" w:hanging="540"/>
      </w:pPr>
      <w:r>
        <w:t>Conduct a limited review of protocols that are exempt under Categories 2, 3, 7 and 8 of the revised Common Rule</w:t>
      </w:r>
      <w:r w:rsidR="00BC367F">
        <w:t>;</w:t>
      </w:r>
    </w:p>
    <w:p w14:paraId="478EC1C5" w14:textId="77777777" w:rsidR="006107D9" w:rsidRDefault="006107D9" w:rsidP="00BC7A46">
      <w:pPr>
        <w:spacing w:after="0" w:line="240" w:lineRule="auto"/>
        <w:ind w:left="1980" w:hanging="540"/>
        <w:jc w:val="both"/>
      </w:pPr>
    </w:p>
    <w:p w14:paraId="2EF645DE" w14:textId="1A5C7EA8" w:rsidR="00EC05C6" w:rsidRDefault="00EC05C6" w:rsidP="002537C5">
      <w:pPr>
        <w:numPr>
          <w:ilvl w:val="2"/>
          <w:numId w:val="1"/>
        </w:numPr>
        <w:spacing w:after="0" w:line="240" w:lineRule="auto"/>
        <w:ind w:left="1980" w:hanging="540"/>
      </w:pPr>
      <w:r>
        <w:t>Document IRB activities in accordance with federal regulations and University policies</w:t>
      </w:r>
      <w:r w:rsidR="00BC367F">
        <w:t>;</w:t>
      </w:r>
    </w:p>
    <w:p w14:paraId="5763E57C" w14:textId="77777777" w:rsidR="006107D9" w:rsidRDefault="006107D9" w:rsidP="00BC7A46">
      <w:pPr>
        <w:spacing w:after="0" w:line="240" w:lineRule="auto"/>
        <w:ind w:left="1980" w:hanging="540"/>
        <w:jc w:val="both"/>
      </w:pPr>
    </w:p>
    <w:p w14:paraId="59018231" w14:textId="67C487C9" w:rsidR="00856FA8" w:rsidRDefault="00856FA8" w:rsidP="002537C5">
      <w:pPr>
        <w:numPr>
          <w:ilvl w:val="2"/>
          <w:numId w:val="1"/>
        </w:numPr>
        <w:spacing w:after="0" w:line="240" w:lineRule="auto"/>
        <w:ind w:left="1980" w:hanging="540"/>
      </w:pPr>
      <w:r>
        <w:t xml:space="preserve">Keep abreast of </w:t>
      </w:r>
      <w:r w:rsidR="00EC05C6">
        <w:t>changes to regulations</w:t>
      </w:r>
      <w:r>
        <w:t xml:space="preserve"> and other sources of </w:t>
      </w:r>
      <w:r w:rsidR="0002296D">
        <w:t>best</w:t>
      </w:r>
      <w:r>
        <w:t xml:space="preserve"> practices </w:t>
      </w:r>
      <w:r w:rsidR="0098439C">
        <w:t>to ensur</w:t>
      </w:r>
      <w:r w:rsidR="00C74452">
        <w:t>e c</w:t>
      </w:r>
      <w:r w:rsidR="0098439C">
        <w:t>ontinued institutional compliance</w:t>
      </w:r>
      <w:r w:rsidR="00BC367F">
        <w:t>;</w:t>
      </w:r>
    </w:p>
    <w:p w14:paraId="5AA6BF87" w14:textId="77777777" w:rsidR="006107D9" w:rsidRDefault="006107D9" w:rsidP="00BC7A46">
      <w:pPr>
        <w:spacing w:after="0" w:line="240" w:lineRule="auto"/>
        <w:ind w:left="1980" w:hanging="540"/>
        <w:jc w:val="both"/>
      </w:pPr>
    </w:p>
    <w:p w14:paraId="6ED5ED86" w14:textId="26690CF8" w:rsidR="009D220E" w:rsidRDefault="009D220E" w:rsidP="002537C5">
      <w:pPr>
        <w:numPr>
          <w:ilvl w:val="2"/>
          <w:numId w:val="1"/>
        </w:numPr>
        <w:spacing w:after="0" w:line="240" w:lineRule="auto"/>
        <w:ind w:left="1980" w:hanging="540"/>
      </w:pPr>
      <w:r>
        <w:t>Serve as a resource for investigators conducting any research subject to review by the</w:t>
      </w:r>
      <w:r w:rsidR="006107D9">
        <w:t xml:space="preserve"> </w:t>
      </w:r>
      <w:r>
        <w:t>I</w:t>
      </w:r>
      <w:r w:rsidR="000E2D17">
        <w:t>R</w:t>
      </w:r>
      <w:r>
        <w:t>B</w:t>
      </w:r>
      <w:r w:rsidR="00BC367F">
        <w:t>;</w:t>
      </w:r>
    </w:p>
    <w:p w14:paraId="7D6716CC" w14:textId="77777777" w:rsidR="006107D9" w:rsidRDefault="006107D9" w:rsidP="00BC7A46">
      <w:pPr>
        <w:spacing w:after="0" w:line="240" w:lineRule="auto"/>
        <w:ind w:left="1980" w:hanging="540"/>
        <w:jc w:val="both"/>
      </w:pPr>
    </w:p>
    <w:p w14:paraId="20CA3F49" w14:textId="533C418E" w:rsidR="00130F76" w:rsidRDefault="009D220E" w:rsidP="00BC7A46">
      <w:pPr>
        <w:numPr>
          <w:ilvl w:val="2"/>
          <w:numId w:val="1"/>
        </w:numPr>
        <w:spacing w:after="0" w:line="240" w:lineRule="auto"/>
        <w:ind w:left="1980" w:hanging="540"/>
        <w:jc w:val="both"/>
      </w:pPr>
      <w:r>
        <w:t xml:space="preserve">Make </w:t>
      </w:r>
      <w:r w:rsidR="002D23D4">
        <w:t xml:space="preserve">policy </w:t>
      </w:r>
      <w:r>
        <w:t>recommendations to the Office of Research Compliance</w:t>
      </w:r>
      <w:r w:rsidR="00BC367F">
        <w:t>;</w:t>
      </w:r>
    </w:p>
    <w:p w14:paraId="476A0F1B" w14:textId="77777777" w:rsidR="006107D9" w:rsidRDefault="006107D9" w:rsidP="00BC7A46">
      <w:pPr>
        <w:spacing w:after="0" w:line="240" w:lineRule="auto"/>
        <w:ind w:left="1980" w:hanging="540"/>
        <w:jc w:val="both"/>
      </w:pPr>
    </w:p>
    <w:p w14:paraId="23342637" w14:textId="6080C18E" w:rsidR="00C74452" w:rsidRDefault="00D674CE" w:rsidP="002537C5">
      <w:pPr>
        <w:numPr>
          <w:ilvl w:val="2"/>
          <w:numId w:val="1"/>
        </w:numPr>
        <w:spacing w:after="0" w:line="240" w:lineRule="auto"/>
        <w:ind w:left="1980" w:hanging="540"/>
      </w:pPr>
      <w:r>
        <w:t xml:space="preserve">Coordinate with IRBs at other institutions </w:t>
      </w:r>
      <w:r w:rsidR="004D0A7D">
        <w:t xml:space="preserve">as necessary </w:t>
      </w:r>
      <w:r>
        <w:t xml:space="preserve">to comply with federal </w:t>
      </w:r>
    </w:p>
    <w:p w14:paraId="5DFBE9D8" w14:textId="4F39CC9A" w:rsidR="00D674CE" w:rsidRDefault="00D674CE" w:rsidP="002537C5">
      <w:pPr>
        <w:spacing w:after="0" w:line="240" w:lineRule="auto"/>
        <w:ind w:left="1980" w:firstLine="0"/>
      </w:pPr>
      <w:r>
        <w:t>requirements pertaining to the use of a single IRB for the review of multi-institutional studies</w:t>
      </w:r>
      <w:r w:rsidR="00BC367F">
        <w:t>; and</w:t>
      </w:r>
      <w:r w:rsidR="007D5014">
        <w:t xml:space="preserve"> </w:t>
      </w:r>
    </w:p>
    <w:p w14:paraId="7FF388C1" w14:textId="77777777" w:rsidR="006107D9" w:rsidRDefault="006107D9" w:rsidP="00BC7A46">
      <w:pPr>
        <w:spacing w:after="0" w:line="240" w:lineRule="auto"/>
        <w:ind w:left="1980" w:hanging="540"/>
        <w:jc w:val="both"/>
      </w:pPr>
    </w:p>
    <w:p w14:paraId="6BBB9F3D" w14:textId="2826DFD1" w:rsidR="00F01166" w:rsidRDefault="00F01166" w:rsidP="002537C5">
      <w:pPr>
        <w:numPr>
          <w:ilvl w:val="2"/>
          <w:numId w:val="1"/>
        </w:numPr>
        <w:spacing w:after="0" w:line="240" w:lineRule="auto"/>
        <w:ind w:left="1980" w:hanging="540"/>
      </w:pPr>
      <w:r>
        <w:t>Report to the Provost and to</w:t>
      </w:r>
      <w:r w:rsidR="00492D45">
        <w:t xml:space="preserve"> </w:t>
      </w:r>
      <w:r w:rsidR="002D23D4">
        <w:t xml:space="preserve">HHS </w:t>
      </w:r>
      <w:r w:rsidR="004F5DCE">
        <w:t>OHRP</w:t>
      </w:r>
      <w:r w:rsidR="00EC05C6">
        <w:t>, through the Director of Research Compliance</w:t>
      </w:r>
      <w:r w:rsidR="0020244F">
        <w:t>,</w:t>
      </w:r>
      <w:r w:rsidR="00BC367F">
        <w:t xml:space="preserve"> </w:t>
      </w:r>
      <w:r>
        <w:t xml:space="preserve">any </w:t>
      </w:r>
      <w:r w:rsidR="002D23D4">
        <w:t>unanticipated problems that arise during the conduct of human subjects research.</w:t>
      </w:r>
    </w:p>
    <w:p w14:paraId="1E139024" w14:textId="77777777" w:rsidR="006107D9" w:rsidRDefault="006107D9" w:rsidP="006107D9">
      <w:pPr>
        <w:spacing w:after="0" w:line="240" w:lineRule="auto"/>
        <w:ind w:left="720" w:firstLine="0"/>
      </w:pPr>
    </w:p>
    <w:p w14:paraId="7E65CAB9" w14:textId="7A276A8D" w:rsidR="008E68B9" w:rsidRPr="008E68B9" w:rsidRDefault="008E68B9" w:rsidP="0004531C">
      <w:pPr>
        <w:pStyle w:val="ListParagraph"/>
        <w:numPr>
          <w:ilvl w:val="0"/>
          <w:numId w:val="11"/>
        </w:numPr>
        <w:spacing w:after="160"/>
        <w:ind w:left="1080"/>
        <w:rPr>
          <w:b/>
        </w:rPr>
      </w:pPr>
      <w:r w:rsidRPr="008E68B9">
        <w:rPr>
          <w:b/>
        </w:rPr>
        <w:t>IRB Operations</w:t>
      </w:r>
    </w:p>
    <w:p w14:paraId="4A1E8484" w14:textId="19854696" w:rsidR="006A07A6" w:rsidRDefault="006A07A6" w:rsidP="000D4F85">
      <w:pPr>
        <w:numPr>
          <w:ilvl w:val="0"/>
          <w:numId w:val="17"/>
        </w:numPr>
        <w:tabs>
          <w:tab w:val="left" w:pos="1350"/>
        </w:tabs>
        <w:spacing w:after="0" w:line="240" w:lineRule="auto"/>
        <w:ind w:left="1440" w:hanging="720"/>
      </w:pPr>
      <w:r>
        <w:t>The I</w:t>
      </w:r>
      <w:r w:rsidR="00966909">
        <w:t>RB</w:t>
      </w:r>
      <w:r>
        <w:t xml:space="preserve"> </w:t>
      </w:r>
      <w:r w:rsidR="000D4F85">
        <w:t xml:space="preserve">typically </w:t>
      </w:r>
      <w:r>
        <w:t xml:space="preserve">meets </w:t>
      </w:r>
      <w:r w:rsidR="000D4F85">
        <w:t xml:space="preserve">on a </w:t>
      </w:r>
      <w:r>
        <w:t>monthly</w:t>
      </w:r>
      <w:r w:rsidR="002851F2">
        <w:t xml:space="preserve"> </w:t>
      </w:r>
      <w:r w:rsidR="000D4F85">
        <w:t>basis, except in such months during which there are no protocols requiring review by the full committee and no other IRB business needing attention</w:t>
      </w:r>
      <w:r>
        <w:t xml:space="preserve"> Meeting dates are listed on the University’s Research Compliance </w:t>
      </w:r>
      <w:hyperlink r:id="rId15" w:history="1">
        <w:r w:rsidRPr="000B4C94">
          <w:rPr>
            <w:rStyle w:val="Hyperlink"/>
          </w:rPr>
          <w:t>website</w:t>
        </w:r>
      </w:hyperlink>
      <w:r w:rsidR="00B3365A">
        <w:t xml:space="preserve">. </w:t>
      </w:r>
      <w:r>
        <w:t>A quorum (50% + 1 of voting members) is required to conduct official I</w:t>
      </w:r>
      <w:r w:rsidR="00966909">
        <w:t>RB</w:t>
      </w:r>
      <w:r>
        <w:t xml:space="preserve"> business.</w:t>
      </w:r>
      <w:r w:rsidR="00BF5241">
        <w:t xml:space="preserve"> </w:t>
      </w:r>
    </w:p>
    <w:p w14:paraId="3F5D5687" w14:textId="77777777" w:rsidR="00C74452" w:rsidRDefault="00C74452" w:rsidP="00C74452">
      <w:pPr>
        <w:tabs>
          <w:tab w:val="left" w:pos="1350"/>
        </w:tabs>
        <w:spacing w:after="0" w:line="240" w:lineRule="auto"/>
        <w:ind w:left="1440" w:firstLine="0"/>
      </w:pPr>
    </w:p>
    <w:p w14:paraId="2C59C41C" w14:textId="77777777" w:rsidR="000A7096" w:rsidRPr="006756DC" w:rsidRDefault="006A07A6" w:rsidP="00C74452">
      <w:pPr>
        <w:numPr>
          <w:ilvl w:val="0"/>
          <w:numId w:val="17"/>
        </w:numPr>
        <w:tabs>
          <w:tab w:val="left" w:pos="1350"/>
        </w:tabs>
        <w:spacing w:after="0" w:line="240" w:lineRule="auto"/>
        <w:ind w:left="1440" w:hanging="720"/>
      </w:pPr>
      <w:r w:rsidRPr="006756DC">
        <w:t>No member of the I</w:t>
      </w:r>
      <w:r w:rsidR="00966909" w:rsidRPr="006756DC">
        <w:t>RB</w:t>
      </w:r>
      <w:r w:rsidRPr="006756DC">
        <w:t xml:space="preserve"> may be involved in the review or approval of a project in which </w:t>
      </w:r>
    </w:p>
    <w:p w14:paraId="1FE04A41" w14:textId="28CF4425" w:rsidR="00E31F3A" w:rsidRPr="006756DC" w:rsidRDefault="000A4CAD" w:rsidP="000A4CAD">
      <w:pPr>
        <w:tabs>
          <w:tab w:val="left" w:pos="1350"/>
        </w:tabs>
        <w:spacing w:after="0" w:line="240" w:lineRule="auto"/>
        <w:ind w:left="1350"/>
      </w:pPr>
      <w:r w:rsidRPr="006756DC">
        <w:tab/>
      </w:r>
      <w:r w:rsidR="006A07A6" w:rsidRPr="006756DC">
        <w:t xml:space="preserve">s/he has or may expect to have a </w:t>
      </w:r>
      <w:r w:rsidR="00E31F3A" w:rsidRPr="006756DC">
        <w:t>conflict of</w:t>
      </w:r>
      <w:r w:rsidR="006A07A6" w:rsidRPr="006756DC">
        <w:t xml:space="preserve"> interest</w:t>
      </w:r>
      <w:r w:rsidR="00E31F3A" w:rsidRPr="006756DC">
        <w:t xml:space="preserve"> as defined in </w:t>
      </w:r>
      <w:hyperlink r:id="rId16" w:history="1">
        <w:r w:rsidR="00E31F3A" w:rsidRPr="006756DC">
          <w:rPr>
            <w:rStyle w:val="Hyperlink"/>
          </w:rPr>
          <w:t>Fayetteville Policy 404.0, Conflict of Interest and Conflict of Commitment</w:t>
        </w:r>
      </w:hyperlink>
      <w:r w:rsidR="00E31F3A" w:rsidRPr="006756DC">
        <w:t>,</w:t>
      </w:r>
      <w:r w:rsidR="006A07A6" w:rsidRPr="006756DC">
        <w:t xml:space="preserve"> except to provide information as needed to the committee.</w:t>
      </w:r>
      <w:r w:rsidR="005C555E" w:rsidRPr="006756DC">
        <w:t xml:space="preserve"> </w:t>
      </w:r>
      <w:r w:rsidR="00E31F3A" w:rsidRPr="006756DC">
        <w:t>Examples of such conflicts would include:</w:t>
      </w:r>
    </w:p>
    <w:p w14:paraId="3275FDA3" w14:textId="7390178D" w:rsidR="00E31F3A" w:rsidRPr="006756DC" w:rsidRDefault="00E31F3A" w:rsidP="000A4CAD">
      <w:pPr>
        <w:tabs>
          <w:tab w:val="left" w:pos="1350"/>
        </w:tabs>
        <w:spacing w:after="0" w:line="240" w:lineRule="auto"/>
        <w:ind w:left="1350"/>
      </w:pPr>
    </w:p>
    <w:p w14:paraId="79E4650B" w14:textId="77393894" w:rsidR="00E31F3A" w:rsidRPr="006756DC" w:rsidRDefault="00E31F3A" w:rsidP="00E31F3A">
      <w:pPr>
        <w:pStyle w:val="ListParagraph"/>
        <w:numPr>
          <w:ilvl w:val="0"/>
          <w:numId w:val="19"/>
        </w:numPr>
        <w:tabs>
          <w:tab w:val="left" w:pos="1350"/>
        </w:tabs>
        <w:spacing w:after="0" w:line="240" w:lineRule="auto"/>
      </w:pPr>
      <w:r w:rsidRPr="006756DC">
        <w:t>Being included as an investigator or study personnel on the protocol being reviewed, or being an immediate family member of anyone included on the protocol being reviewed;</w:t>
      </w:r>
    </w:p>
    <w:p w14:paraId="4F263EC0" w14:textId="693C7ABA" w:rsidR="00E31F3A" w:rsidRPr="006756DC" w:rsidRDefault="00E31F3A" w:rsidP="00E31F3A">
      <w:pPr>
        <w:pStyle w:val="ListParagraph"/>
        <w:numPr>
          <w:ilvl w:val="0"/>
          <w:numId w:val="19"/>
        </w:numPr>
        <w:tabs>
          <w:tab w:val="left" w:pos="1350"/>
        </w:tabs>
        <w:spacing w:after="0" w:line="240" w:lineRule="auto"/>
      </w:pPr>
      <w:r w:rsidRPr="006756DC">
        <w:t>Serving as a research coordinator, consultant or advisor on the protocol;</w:t>
      </w:r>
    </w:p>
    <w:p w14:paraId="503D203D" w14:textId="7D07CD96" w:rsidR="00E31F3A" w:rsidRPr="006756DC" w:rsidRDefault="00E31F3A" w:rsidP="00E31F3A">
      <w:pPr>
        <w:pStyle w:val="ListParagraph"/>
        <w:numPr>
          <w:ilvl w:val="0"/>
          <w:numId w:val="19"/>
        </w:numPr>
        <w:tabs>
          <w:tab w:val="left" w:pos="1350"/>
        </w:tabs>
        <w:spacing w:after="0" w:line="240" w:lineRule="auto"/>
      </w:pPr>
      <w:r w:rsidRPr="006756DC">
        <w:lastRenderedPageBreak/>
        <w:t>Having a close personal or professional relationship with the submitting investigator that would interfere with the reviewer’s objectivity; or</w:t>
      </w:r>
    </w:p>
    <w:p w14:paraId="2F66EB4E" w14:textId="68FC8B5C" w:rsidR="00E31F3A" w:rsidRPr="006756DC" w:rsidRDefault="00E31F3A" w:rsidP="00E31F3A">
      <w:pPr>
        <w:pStyle w:val="ListParagraph"/>
        <w:numPr>
          <w:ilvl w:val="0"/>
          <w:numId w:val="19"/>
        </w:numPr>
        <w:tabs>
          <w:tab w:val="left" w:pos="1350"/>
        </w:tabs>
        <w:spacing w:after="0" w:line="240" w:lineRule="auto"/>
      </w:pPr>
      <w:r w:rsidRPr="006756DC">
        <w:t>Receiving any payments, royalties, equity, intellectual property rights, or other benefits from an entity whose financial interests would appear to benefit from approval of the protocol under review.</w:t>
      </w:r>
    </w:p>
    <w:p w14:paraId="1D6B4BFE" w14:textId="77777777" w:rsidR="00E31F3A" w:rsidRDefault="00E31F3A" w:rsidP="000A4CAD">
      <w:pPr>
        <w:tabs>
          <w:tab w:val="left" w:pos="1350"/>
        </w:tabs>
        <w:spacing w:after="0" w:line="240" w:lineRule="auto"/>
        <w:ind w:left="1350"/>
      </w:pPr>
    </w:p>
    <w:p w14:paraId="728F7E1B" w14:textId="7A8D6512" w:rsidR="00B141CD" w:rsidRDefault="005C555E" w:rsidP="000A4CAD">
      <w:pPr>
        <w:tabs>
          <w:tab w:val="left" w:pos="1350"/>
        </w:tabs>
        <w:spacing w:after="0" w:line="240" w:lineRule="auto"/>
        <w:ind w:left="1350"/>
      </w:pPr>
      <w:r>
        <w:t>If any member must recuse himself or herself</w:t>
      </w:r>
      <w:r w:rsidR="004157EE">
        <w:t xml:space="preserve"> for review of a protocol</w:t>
      </w:r>
      <w:r>
        <w:t xml:space="preserve">, the committee will </w:t>
      </w:r>
      <w:r w:rsidR="00A97988">
        <w:t>confirm that</w:t>
      </w:r>
      <w:r>
        <w:t xml:space="preserve"> a quorum still exists before proceeding.</w:t>
      </w:r>
    </w:p>
    <w:p w14:paraId="0FABDC3B" w14:textId="77777777" w:rsidR="000A4CAD" w:rsidRDefault="000A4CAD" w:rsidP="000A4CAD">
      <w:pPr>
        <w:tabs>
          <w:tab w:val="left" w:pos="1350"/>
        </w:tabs>
        <w:spacing w:after="0" w:line="240" w:lineRule="auto"/>
        <w:ind w:left="1440" w:firstLine="0"/>
      </w:pPr>
    </w:p>
    <w:p w14:paraId="797E476E" w14:textId="77777777" w:rsidR="000A4CAD" w:rsidRDefault="00BF40AC" w:rsidP="00C74452">
      <w:pPr>
        <w:numPr>
          <w:ilvl w:val="0"/>
          <w:numId w:val="17"/>
        </w:numPr>
        <w:tabs>
          <w:tab w:val="left" w:pos="1350"/>
        </w:tabs>
        <w:spacing w:after="0" w:line="240" w:lineRule="auto"/>
        <w:ind w:left="1440" w:hanging="720"/>
      </w:pPr>
      <w:r>
        <w:t xml:space="preserve">Protocols may be approved for up to </w:t>
      </w:r>
      <w:r w:rsidR="00966909">
        <w:t>one</w:t>
      </w:r>
      <w:r>
        <w:t xml:space="preserve"> year. </w:t>
      </w:r>
      <w:r w:rsidR="00790F46">
        <w:t>Pro</w:t>
      </w:r>
      <w:r w:rsidR="00966909">
        <w:t xml:space="preserve">tocols may be renewed following </w:t>
      </w:r>
    </w:p>
    <w:p w14:paraId="6FF67E0E" w14:textId="6E8253D4" w:rsidR="00BF40AC" w:rsidRDefault="00966909" w:rsidP="000A4CAD">
      <w:pPr>
        <w:tabs>
          <w:tab w:val="left" w:pos="1350"/>
        </w:tabs>
        <w:spacing w:after="0" w:line="240" w:lineRule="auto"/>
        <w:ind w:left="1350" w:firstLine="0"/>
      </w:pPr>
      <w:r>
        <w:t xml:space="preserve">review by the IRB. </w:t>
      </w:r>
      <w:r w:rsidR="00BF40AC">
        <w:t xml:space="preserve">No work on any project subject to </w:t>
      </w:r>
      <w:r w:rsidR="009D163E">
        <w:t>this policy</w:t>
      </w:r>
      <w:r w:rsidR="00BF40AC">
        <w:t xml:space="preserve"> may be conducted until approval is granted.</w:t>
      </w:r>
      <w:r>
        <w:t xml:space="preserve"> Under no circumstances will a protocol be approved retroactively.</w:t>
      </w:r>
    </w:p>
    <w:p w14:paraId="04D298E4" w14:textId="77777777" w:rsidR="000A4CAD" w:rsidRDefault="000A4CAD" w:rsidP="000A4CAD">
      <w:pPr>
        <w:tabs>
          <w:tab w:val="left" w:pos="1350"/>
        </w:tabs>
        <w:spacing w:after="0" w:line="240" w:lineRule="auto"/>
        <w:ind w:left="1440" w:firstLine="0"/>
      </w:pPr>
    </w:p>
    <w:p w14:paraId="1DEC05C2" w14:textId="77777777" w:rsidR="000A4CAD" w:rsidRDefault="00047131" w:rsidP="00C74452">
      <w:pPr>
        <w:numPr>
          <w:ilvl w:val="0"/>
          <w:numId w:val="17"/>
        </w:numPr>
        <w:tabs>
          <w:tab w:val="left" w:pos="1350"/>
        </w:tabs>
        <w:spacing w:after="0" w:line="240" w:lineRule="auto"/>
        <w:ind w:left="1440" w:hanging="720"/>
      </w:pPr>
      <w:r>
        <w:t xml:space="preserve">In accordance with federal regulations, the University maintains a Federalwide </w:t>
      </w:r>
    </w:p>
    <w:p w14:paraId="3FC4ADCB" w14:textId="39E5F7FE" w:rsidR="00047131" w:rsidRDefault="000A4CAD" w:rsidP="000A4CAD">
      <w:pPr>
        <w:tabs>
          <w:tab w:val="left" w:pos="1350"/>
        </w:tabs>
        <w:spacing w:after="0" w:line="240" w:lineRule="auto"/>
        <w:ind w:left="720" w:firstLine="0"/>
      </w:pPr>
      <w:r>
        <w:tab/>
      </w:r>
      <w:r w:rsidR="00047131">
        <w:t>Assurance for the Protection of Human Subjects, on file with HHS OHRP.</w:t>
      </w:r>
    </w:p>
    <w:p w14:paraId="4667AE2E" w14:textId="77777777" w:rsidR="005B31C6" w:rsidRDefault="005B31C6" w:rsidP="000A4CAD">
      <w:pPr>
        <w:tabs>
          <w:tab w:val="left" w:pos="1350"/>
        </w:tabs>
        <w:spacing w:after="0" w:line="240" w:lineRule="auto"/>
        <w:ind w:left="720" w:firstLine="0"/>
      </w:pPr>
    </w:p>
    <w:p w14:paraId="46549B4A" w14:textId="03D97E66" w:rsidR="008E68B9" w:rsidRPr="008E68B9" w:rsidRDefault="008E68B9" w:rsidP="0004531C">
      <w:pPr>
        <w:pStyle w:val="ListParagraph"/>
        <w:numPr>
          <w:ilvl w:val="0"/>
          <w:numId w:val="11"/>
        </w:numPr>
        <w:spacing w:after="160"/>
        <w:ind w:left="1080"/>
        <w:rPr>
          <w:b/>
        </w:rPr>
      </w:pPr>
      <w:r w:rsidRPr="008E68B9">
        <w:rPr>
          <w:b/>
        </w:rPr>
        <w:t>Implementation</w:t>
      </w:r>
    </w:p>
    <w:p w14:paraId="58E440BA" w14:textId="4EDFAB86" w:rsidR="00456E4F" w:rsidRDefault="00A11FFF" w:rsidP="0004531C">
      <w:pPr>
        <w:tabs>
          <w:tab w:val="left" w:pos="1080"/>
        </w:tabs>
        <w:spacing w:after="353"/>
        <w:ind w:left="1080" w:firstLine="0"/>
      </w:pPr>
      <w:r>
        <w:t xml:space="preserve">The </w:t>
      </w:r>
      <w:hyperlink r:id="rId17" w:history="1">
        <w:r w:rsidRPr="0078420F">
          <w:rPr>
            <w:rStyle w:val="Hyperlink"/>
          </w:rPr>
          <w:t>Director of Research Compliance</w:t>
        </w:r>
      </w:hyperlink>
      <w:r>
        <w:t xml:space="preserve">, under the direction of the Vice </w:t>
      </w:r>
      <w:r w:rsidR="006368A4">
        <w:t>Chancellor</w:t>
      </w:r>
      <w:r>
        <w:t xml:space="preserve"> for Research</w:t>
      </w:r>
      <w:r w:rsidR="006368A4">
        <w:t xml:space="preserve"> and Innovation</w:t>
      </w:r>
      <w:r>
        <w:t xml:space="preserve">, </w:t>
      </w:r>
      <w:r w:rsidR="00F2145F">
        <w:t xml:space="preserve">and in </w:t>
      </w:r>
      <w:r w:rsidR="00647AE7">
        <w:t xml:space="preserve">collaboration </w:t>
      </w:r>
      <w:r w:rsidR="00F2145F">
        <w:t xml:space="preserve">with the </w:t>
      </w:r>
      <w:r w:rsidR="00966909">
        <w:t>IRB</w:t>
      </w:r>
      <w:r w:rsidR="00647AE7">
        <w:t xml:space="preserve"> and the I</w:t>
      </w:r>
      <w:r w:rsidR="00966909">
        <w:t>R</w:t>
      </w:r>
      <w:r w:rsidR="00647AE7">
        <w:t>B Coordinator</w:t>
      </w:r>
      <w:r w:rsidR="00F2145F">
        <w:t xml:space="preserve">, </w:t>
      </w:r>
      <w:r>
        <w:t xml:space="preserve">shall oversee the University’s compliance with </w:t>
      </w:r>
      <w:r w:rsidR="00F2145F">
        <w:t>applicable</w:t>
      </w:r>
      <w:r>
        <w:t xml:space="preserve"> laws and regulations and shall have primary responsibility for ensuring that this Policy is properly implemented and followed.</w:t>
      </w:r>
      <w:r w:rsidR="00BF5241">
        <w:t xml:space="preserve"> </w:t>
      </w:r>
    </w:p>
    <w:sectPr w:rsidR="00456E4F">
      <w:headerReference w:type="even" r:id="rId18"/>
      <w:headerReference w:type="default" r:id="rId19"/>
      <w:footerReference w:type="even" r:id="rId20"/>
      <w:footerReference w:type="default" r:id="rId21"/>
      <w:headerReference w:type="first" r:id="rId22"/>
      <w:footerReference w:type="first" r:id="rId23"/>
      <w:pgSz w:w="12240" w:h="15840"/>
      <w:pgMar w:top="1103" w:right="1310" w:bottom="1393" w:left="9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56A5F" w14:textId="77777777" w:rsidR="002900CA" w:rsidRDefault="002900CA">
      <w:pPr>
        <w:spacing w:after="0" w:line="240" w:lineRule="auto"/>
      </w:pPr>
      <w:r>
        <w:separator/>
      </w:r>
    </w:p>
  </w:endnote>
  <w:endnote w:type="continuationSeparator" w:id="0">
    <w:p w14:paraId="123D1A9A" w14:textId="77777777" w:rsidR="002900CA" w:rsidRDefault="0029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038B6" w14:textId="77777777" w:rsidR="007A6D0C" w:rsidRDefault="007A6D0C">
    <w:pPr>
      <w:tabs>
        <w:tab w:val="right" w:pos="10186"/>
      </w:tabs>
      <w:spacing w:after="0" w:line="259" w:lineRule="auto"/>
      <w:ind w:left="0" w:right="-230" w:firstLine="0"/>
    </w:pPr>
    <w:r>
      <w:t>https://vcfa.uark.edu/policies/fayetteville/rssp/7010.php</w:t>
    </w:r>
    <w:r>
      <w:tab/>
      <w:t>10/17/2016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1BBB" w14:textId="2C785B41" w:rsidR="007A6D0C" w:rsidRDefault="007A6D0C">
    <w:pPr>
      <w:tabs>
        <w:tab w:val="right" w:pos="10186"/>
      </w:tabs>
      <w:spacing w:after="0" w:line="259" w:lineRule="auto"/>
      <w:ind w:left="0" w:right="-230" w:firstLine="0"/>
    </w:pPr>
    <w:r>
      <w:tab/>
      <w:t xml:space="preserve"> </w:t>
    </w:r>
    <w:r w:rsidR="001B2F65">
      <w:t>September</w:t>
    </w:r>
    <w:r w:rsidR="001B2F65">
      <w:t xml:space="preserve"> </w:t>
    </w:r>
    <w:r w:rsidR="008E68B9">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5238" w14:textId="77777777" w:rsidR="007A6D0C" w:rsidRDefault="007A6D0C">
    <w:pPr>
      <w:tabs>
        <w:tab w:val="right" w:pos="10186"/>
      </w:tabs>
      <w:spacing w:after="0" w:line="259" w:lineRule="auto"/>
      <w:ind w:left="0" w:right="-230" w:firstLine="0"/>
    </w:pPr>
    <w:r>
      <w:t>https://vcfa.uark.edu/policies/fayetteville/rssp/7010.php</w:t>
    </w:r>
    <w:r>
      <w:tab/>
      <w:t>10/17/2016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C91ED" w14:textId="77777777" w:rsidR="002900CA" w:rsidRDefault="002900CA">
      <w:pPr>
        <w:spacing w:after="0" w:line="240" w:lineRule="auto"/>
      </w:pPr>
      <w:r>
        <w:separator/>
      </w:r>
    </w:p>
  </w:footnote>
  <w:footnote w:type="continuationSeparator" w:id="0">
    <w:p w14:paraId="5B59B4A5" w14:textId="77777777" w:rsidR="002900CA" w:rsidRDefault="00290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3BEB" w14:textId="77777777" w:rsidR="007A6D0C" w:rsidRDefault="007A6D0C">
    <w:pPr>
      <w:tabs>
        <w:tab w:val="right" w:pos="10186"/>
      </w:tabs>
      <w:spacing w:after="0" w:line="259" w:lineRule="auto"/>
      <w:ind w:left="0" w:right="-230" w:firstLine="0"/>
    </w:pPr>
    <w:r>
      <w:t>Animal Care and Use | VCFA | University of Arkansas</w:t>
    </w:r>
    <w:r>
      <w:tab/>
      <w:t xml:space="preserve">Page </w:t>
    </w:r>
    <w:r>
      <w:fldChar w:fldCharType="begin"/>
    </w:r>
    <w:r>
      <w:instrText xml:space="preserve"> PAGE   \* MERGEFORMAT </w:instrText>
    </w:r>
    <w:r>
      <w:fldChar w:fldCharType="separate"/>
    </w:r>
    <w:r>
      <w:t>1</w:t>
    </w:r>
    <w:r>
      <w:fldChar w:fldCharType="end"/>
    </w:r>
    <w:r>
      <w:t xml:space="preserve"> of </w:t>
    </w:r>
    <w:r w:rsidR="00E225F6">
      <w:rPr>
        <w:noProof/>
      </w:rPr>
      <w:fldChar w:fldCharType="begin"/>
    </w:r>
    <w:r w:rsidR="00E225F6">
      <w:rPr>
        <w:noProof/>
      </w:rPr>
      <w:instrText xml:space="preserve"> NUMPAGES   \* MERGEFORMAT </w:instrText>
    </w:r>
    <w:r w:rsidR="00E225F6">
      <w:rPr>
        <w:noProof/>
      </w:rPr>
      <w:fldChar w:fldCharType="separate"/>
    </w:r>
    <w:r>
      <w:rPr>
        <w:noProof/>
      </w:rPr>
      <w:t>1</w:t>
    </w:r>
    <w:r w:rsidR="00E225F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B5ED5" w14:textId="19EDFB2F" w:rsidR="007A6D0C" w:rsidRDefault="002900CA">
    <w:pPr>
      <w:tabs>
        <w:tab w:val="right" w:pos="10186"/>
      </w:tabs>
      <w:spacing w:after="0" w:line="259" w:lineRule="auto"/>
      <w:ind w:left="0" w:right="-230" w:firstLine="0"/>
    </w:pPr>
    <w:sdt>
      <w:sdtPr>
        <w:id w:val="-1199152844"/>
        <w:docPartObj>
          <w:docPartGallery w:val="Watermarks"/>
          <w:docPartUnique/>
        </w:docPartObj>
      </w:sdtPr>
      <w:sdtEndPr/>
      <w:sdtContent>
        <w:r>
          <w:rPr>
            <w:noProof/>
          </w:rPr>
          <w:pict w14:anchorId="44F174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14329">
      <w:t>Protection of Human Subjects in Research</w:t>
    </w:r>
    <w:r w:rsidR="00604021">
      <w:t xml:space="preserve"> </w:t>
    </w:r>
    <w:r w:rsidR="007A6D0C">
      <w:t>| VCFA | University of Arkansas</w:t>
    </w:r>
    <w:r w:rsidR="00A26C8B">
      <w:tab/>
    </w:r>
    <w:r w:rsidR="00A26C8B" w:rsidRPr="00A26C8B">
      <w:t xml:space="preserve"> </w:t>
    </w:r>
    <w:r w:rsidR="00A26C8B">
      <w:t xml:space="preserve">Page </w:t>
    </w:r>
    <w:r w:rsidR="00A26C8B">
      <w:fldChar w:fldCharType="begin"/>
    </w:r>
    <w:r w:rsidR="00A26C8B">
      <w:instrText xml:space="preserve"> PAGE   \* MERGEFORMAT </w:instrText>
    </w:r>
    <w:r w:rsidR="00A26C8B">
      <w:fldChar w:fldCharType="separate"/>
    </w:r>
    <w:r w:rsidR="00A26C8B">
      <w:t>1</w:t>
    </w:r>
    <w:r w:rsidR="00A26C8B">
      <w:fldChar w:fldCharType="end"/>
    </w:r>
    <w:r w:rsidR="00A26C8B">
      <w:t xml:space="preserve"> of </w:t>
    </w:r>
    <w:r w:rsidR="00A26C8B">
      <w:rPr>
        <w:noProof/>
      </w:rPr>
      <w:fldChar w:fldCharType="begin"/>
    </w:r>
    <w:r w:rsidR="00A26C8B">
      <w:rPr>
        <w:noProof/>
      </w:rPr>
      <w:instrText xml:space="preserve"> NUMPAGES   \* MERGEFORMAT </w:instrText>
    </w:r>
    <w:r w:rsidR="00A26C8B">
      <w:rPr>
        <w:noProof/>
      </w:rPr>
      <w:fldChar w:fldCharType="separate"/>
    </w:r>
    <w:r w:rsidR="00A26C8B">
      <w:rPr>
        <w:noProof/>
      </w:rPr>
      <w:t>3</w:t>
    </w:r>
    <w:r w:rsidR="00A26C8B">
      <w:rPr>
        <w:noProof/>
      </w:rPr>
      <w:fldChar w:fldCharType="end"/>
    </w:r>
    <w:r w:rsidR="007A6D0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FB5AC" w14:textId="77777777" w:rsidR="007A6D0C" w:rsidRDefault="007A6D0C">
    <w:pPr>
      <w:tabs>
        <w:tab w:val="right" w:pos="10186"/>
      </w:tabs>
      <w:spacing w:after="0" w:line="259" w:lineRule="auto"/>
      <w:ind w:left="0" w:right="-230" w:firstLine="0"/>
    </w:pPr>
    <w:r>
      <w:t>Animal Care and Use | VCFA | University of Arkansas</w:t>
    </w:r>
    <w:r>
      <w:tab/>
      <w:t xml:space="preserve">Page </w:t>
    </w:r>
    <w:r>
      <w:fldChar w:fldCharType="begin"/>
    </w:r>
    <w:r>
      <w:instrText xml:space="preserve"> PAGE   \* MERGEFORMAT </w:instrText>
    </w:r>
    <w:r>
      <w:fldChar w:fldCharType="separate"/>
    </w:r>
    <w:r>
      <w:t>1</w:t>
    </w:r>
    <w:r>
      <w:fldChar w:fldCharType="end"/>
    </w:r>
    <w:r>
      <w:t xml:space="preserve"> of </w:t>
    </w:r>
    <w:r w:rsidR="00E225F6">
      <w:rPr>
        <w:noProof/>
      </w:rPr>
      <w:fldChar w:fldCharType="begin"/>
    </w:r>
    <w:r w:rsidR="00E225F6">
      <w:rPr>
        <w:noProof/>
      </w:rPr>
      <w:instrText xml:space="preserve"> NUMPAGES   \* MERGEFORMAT </w:instrText>
    </w:r>
    <w:r w:rsidR="00E225F6">
      <w:rPr>
        <w:noProof/>
      </w:rPr>
      <w:fldChar w:fldCharType="separate"/>
    </w:r>
    <w:r>
      <w:rPr>
        <w:noProof/>
      </w:rPr>
      <w:t>1</w:t>
    </w:r>
    <w:r w:rsidR="00E225F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70A1"/>
    <w:multiLevelType w:val="hybridMultilevel"/>
    <w:tmpl w:val="4E9ACDBC"/>
    <w:lvl w:ilvl="0" w:tplc="AFEEC946">
      <w:start w:val="1"/>
      <w:numFmt w:val="upperLetter"/>
      <w:lvlText w:val="%1."/>
      <w:lvlJc w:val="left"/>
      <w:pPr>
        <w:ind w:left="4156"/>
      </w:pPr>
      <w:rPr>
        <w:rFonts w:hint="default"/>
        <w:b w:val="0"/>
        <w:i w:val="0"/>
        <w:strike w:val="0"/>
        <w:dstrike w:val="0"/>
        <w:color w:val="000000"/>
        <w:sz w:val="24"/>
        <w:szCs w:val="24"/>
        <w:u w:val="none" w:color="000000"/>
        <w:bdr w:val="none" w:sz="0" w:space="0" w:color="auto"/>
        <w:shd w:val="clear" w:color="auto" w:fill="auto"/>
        <w:vertAlign w:val="baseline"/>
      </w:rPr>
    </w:lvl>
    <w:lvl w:ilvl="1" w:tplc="6600862C">
      <w:start w:val="1"/>
      <w:numFmt w:val="upperLetter"/>
      <w:lvlText w:val="%2."/>
      <w:lvlJc w:val="left"/>
      <w:pPr>
        <w:ind w:left="4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09000F">
      <w:start w:val="1"/>
      <w:numFmt w:val="decimal"/>
      <w:lvlText w:val="%3."/>
      <w:lvlJc w:val="left"/>
      <w:pPr>
        <w:ind w:left="4659"/>
      </w:pPr>
      <w:rPr>
        <w:b w:val="0"/>
        <w:i w:val="0"/>
        <w:strike w:val="0"/>
        <w:dstrike w:val="0"/>
        <w:color w:val="000000"/>
        <w:sz w:val="24"/>
        <w:szCs w:val="24"/>
        <w:u w:val="none" w:color="000000"/>
        <w:bdr w:val="none" w:sz="0" w:space="0" w:color="auto"/>
        <w:shd w:val="clear" w:color="auto" w:fill="auto"/>
        <w:vertAlign w:val="baseline"/>
      </w:rPr>
    </w:lvl>
    <w:lvl w:ilvl="3" w:tplc="B03EC24E">
      <w:start w:val="1"/>
      <w:numFmt w:val="decimal"/>
      <w:lvlText w:val="%4"/>
      <w:lvlJc w:val="left"/>
      <w:pPr>
        <w:ind w:left="5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70626C">
      <w:start w:val="1"/>
      <w:numFmt w:val="lowerLetter"/>
      <w:lvlText w:val="%5"/>
      <w:lvlJc w:val="left"/>
      <w:pPr>
        <w:ind w:left="6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2A5CAC">
      <w:start w:val="1"/>
      <w:numFmt w:val="lowerRoman"/>
      <w:lvlText w:val="%6"/>
      <w:lvlJc w:val="left"/>
      <w:pPr>
        <w:ind w:left="6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B44426">
      <w:start w:val="1"/>
      <w:numFmt w:val="decimal"/>
      <w:lvlText w:val="%7"/>
      <w:lvlJc w:val="left"/>
      <w:pPr>
        <w:ind w:left="7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E03128">
      <w:start w:val="1"/>
      <w:numFmt w:val="lowerLetter"/>
      <w:lvlText w:val="%8"/>
      <w:lvlJc w:val="left"/>
      <w:pPr>
        <w:ind w:left="8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6EEB22">
      <w:start w:val="1"/>
      <w:numFmt w:val="lowerRoman"/>
      <w:lvlText w:val="%9"/>
      <w:lvlJc w:val="left"/>
      <w:pPr>
        <w:ind w:left="8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7A244A"/>
    <w:multiLevelType w:val="hybridMultilevel"/>
    <w:tmpl w:val="3006C096"/>
    <w:lvl w:ilvl="0" w:tplc="3CBC70FE">
      <w:start w:val="1"/>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5D96659"/>
    <w:multiLevelType w:val="hybridMultilevel"/>
    <w:tmpl w:val="79EE14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285AA6"/>
    <w:multiLevelType w:val="hybridMultilevel"/>
    <w:tmpl w:val="AC2EE96E"/>
    <w:lvl w:ilvl="0" w:tplc="7EDACECE">
      <w:start w:val="1"/>
      <w:numFmt w:val="upperLetter"/>
      <w:lvlText w:val="%1."/>
      <w:lvlJc w:val="left"/>
      <w:pPr>
        <w:ind w:left="1276" w:firstLine="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F463A"/>
    <w:multiLevelType w:val="hybridMultilevel"/>
    <w:tmpl w:val="E55A6A4E"/>
    <w:lvl w:ilvl="0" w:tplc="A21C96F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56B8D8">
      <w:start w:val="1"/>
      <w:numFmt w:val="lowerLetter"/>
      <w:lvlText w:val="%2"/>
      <w:lvlJc w:val="left"/>
      <w:pPr>
        <w:ind w:left="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D4B94E">
      <w:start w:val="1"/>
      <w:numFmt w:val="upperLetter"/>
      <w:lvlRestart w:val="0"/>
      <w:lvlText w:val="%3."/>
      <w:lvlJc w:val="left"/>
      <w:pPr>
        <w:ind w:left="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4E0F10">
      <w:start w:val="1"/>
      <w:numFmt w:val="decimal"/>
      <w:lvlText w:val="%4"/>
      <w:lvlJc w:val="left"/>
      <w:pPr>
        <w:ind w:left="1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3A9234">
      <w:start w:val="1"/>
      <w:numFmt w:val="lowerLetter"/>
      <w:lvlText w:val="%5"/>
      <w:lvlJc w:val="left"/>
      <w:pPr>
        <w:ind w:left="2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78A9F2">
      <w:start w:val="1"/>
      <w:numFmt w:val="lowerRoman"/>
      <w:lvlText w:val="%6"/>
      <w:lvlJc w:val="left"/>
      <w:pPr>
        <w:ind w:left="29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A8F1AE">
      <w:start w:val="1"/>
      <w:numFmt w:val="decimal"/>
      <w:lvlText w:val="%7"/>
      <w:lvlJc w:val="left"/>
      <w:pPr>
        <w:ind w:left="36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72F184">
      <w:start w:val="1"/>
      <w:numFmt w:val="lowerLetter"/>
      <w:lvlText w:val="%8"/>
      <w:lvlJc w:val="left"/>
      <w:pPr>
        <w:ind w:left="4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12C03C">
      <w:start w:val="1"/>
      <w:numFmt w:val="lowerRoman"/>
      <w:lvlText w:val="%9"/>
      <w:lvlJc w:val="left"/>
      <w:pPr>
        <w:ind w:left="5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B13E14"/>
    <w:multiLevelType w:val="hybridMultilevel"/>
    <w:tmpl w:val="699AB4A4"/>
    <w:lvl w:ilvl="0" w:tplc="91A012C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986C9C">
      <w:start w:val="1"/>
      <w:numFmt w:val="lowerLetter"/>
      <w:lvlText w:val="%2"/>
      <w:lvlJc w:val="left"/>
      <w:pPr>
        <w:ind w:left="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9831DE">
      <w:start w:val="1"/>
      <w:numFmt w:val="lowerRoman"/>
      <w:lvlText w:val="%3"/>
      <w:lvlJc w:val="left"/>
      <w:pPr>
        <w:ind w:left="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FAB38A">
      <w:start w:val="1"/>
      <w:numFmt w:val="decimal"/>
      <w:lvlRestart w:val="0"/>
      <w:lvlText w:val="%4."/>
      <w:lvlJc w:val="left"/>
      <w:pPr>
        <w:ind w:left="1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F2AF2E">
      <w:start w:val="1"/>
      <w:numFmt w:val="lowerLetter"/>
      <w:lvlText w:val="%5"/>
      <w:lvlJc w:val="left"/>
      <w:pPr>
        <w:ind w:left="1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06A35E">
      <w:start w:val="1"/>
      <w:numFmt w:val="lowerRoman"/>
      <w:lvlText w:val="%6"/>
      <w:lvlJc w:val="left"/>
      <w:pPr>
        <w:ind w:left="2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AE9B2E">
      <w:start w:val="1"/>
      <w:numFmt w:val="decimal"/>
      <w:lvlText w:val="%7"/>
      <w:lvlJc w:val="left"/>
      <w:pPr>
        <w:ind w:left="3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FC49F2">
      <w:start w:val="1"/>
      <w:numFmt w:val="lowerLetter"/>
      <w:lvlText w:val="%8"/>
      <w:lvlJc w:val="left"/>
      <w:pPr>
        <w:ind w:left="4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BEA382">
      <w:start w:val="1"/>
      <w:numFmt w:val="lowerRoman"/>
      <w:lvlText w:val="%9"/>
      <w:lvlJc w:val="left"/>
      <w:pPr>
        <w:ind w:left="4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4F2A10"/>
    <w:multiLevelType w:val="hybridMultilevel"/>
    <w:tmpl w:val="E2B0F68C"/>
    <w:lvl w:ilvl="0" w:tplc="F16A089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002F08">
      <w:start w:val="1"/>
      <w:numFmt w:val="lowerLetter"/>
      <w:lvlText w:val="%2"/>
      <w:lvlJc w:val="left"/>
      <w:pPr>
        <w:ind w:left="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085070">
      <w:start w:val="1"/>
      <w:numFmt w:val="upperLetter"/>
      <w:lvlRestart w:val="0"/>
      <w:lvlText w:val="%3."/>
      <w:lvlJc w:val="left"/>
      <w:pPr>
        <w:ind w:left="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3C565A">
      <w:start w:val="1"/>
      <w:numFmt w:val="decimal"/>
      <w:lvlText w:val="%4"/>
      <w:lvlJc w:val="left"/>
      <w:pPr>
        <w:ind w:left="1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1A0CDC">
      <w:start w:val="1"/>
      <w:numFmt w:val="lowerLetter"/>
      <w:lvlText w:val="%5"/>
      <w:lvlJc w:val="left"/>
      <w:pPr>
        <w:ind w:left="2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5E190A">
      <w:start w:val="1"/>
      <w:numFmt w:val="lowerRoman"/>
      <w:lvlText w:val="%6"/>
      <w:lvlJc w:val="left"/>
      <w:pPr>
        <w:ind w:left="2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765DF4">
      <w:start w:val="1"/>
      <w:numFmt w:val="decimal"/>
      <w:lvlText w:val="%7"/>
      <w:lvlJc w:val="left"/>
      <w:pPr>
        <w:ind w:left="3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C4E45A">
      <w:start w:val="1"/>
      <w:numFmt w:val="lowerLetter"/>
      <w:lvlText w:val="%8"/>
      <w:lvlJc w:val="left"/>
      <w:pPr>
        <w:ind w:left="4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A2A6C6">
      <w:start w:val="1"/>
      <w:numFmt w:val="lowerRoman"/>
      <w:lvlText w:val="%9"/>
      <w:lvlJc w:val="left"/>
      <w:pPr>
        <w:ind w:left="5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A90A93"/>
    <w:multiLevelType w:val="hybridMultilevel"/>
    <w:tmpl w:val="D5CCB4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CC411C"/>
    <w:multiLevelType w:val="hybridMultilevel"/>
    <w:tmpl w:val="44B645B8"/>
    <w:lvl w:ilvl="0" w:tplc="88D84DC8">
      <w:start w:val="1"/>
      <w:numFmt w:val="upperLetter"/>
      <w:lvlText w:val="%1."/>
      <w:lvlJc w:val="left"/>
      <w:pPr>
        <w:ind w:left="4156"/>
      </w:pPr>
      <w:rPr>
        <w:rFonts w:hint="default"/>
        <w:b w:val="0"/>
        <w:i w:val="0"/>
        <w:strike w:val="0"/>
        <w:dstrike w:val="0"/>
        <w:color w:val="000000"/>
        <w:sz w:val="24"/>
        <w:szCs w:val="24"/>
        <w:u w:val="none" w:color="000000"/>
        <w:bdr w:val="none" w:sz="0" w:space="0" w:color="auto"/>
        <w:shd w:val="clear" w:color="auto" w:fill="auto"/>
        <w:vertAlign w:val="baseline"/>
      </w:rPr>
    </w:lvl>
    <w:lvl w:ilvl="1" w:tplc="6600862C">
      <w:start w:val="1"/>
      <w:numFmt w:val="upperLetter"/>
      <w:lvlText w:val="%2."/>
      <w:lvlJc w:val="left"/>
      <w:pPr>
        <w:ind w:left="4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09000F">
      <w:start w:val="1"/>
      <w:numFmt w:val="decimal"/>
      <w:lvlText w:val="%3."/>
      <w:lvlJc w:val="left"/>
      <w:pPr>
        <w:ind w:left="4659"/>
      </w:pPr>
      <w:rPr>
        <w:b w:val="0"/>
        <w:i w:val="0"/>
        <w:strike w:val="0"/>
        <w:dstrike w:val="0"/>
        <w:color w:val="000000"/>
        <w:sz w:val="24"/>
        <w:szCs w:val="24"/>
        <w:u w:val="none" w:color="000000"/>
        <w:bdr w:val="none" w:sz="0" w:space="0" w:color="auto"/>
        <w:shd w:val="clear" w:color="auto" w:fill="auto"/>
        <w:vertAlign w:val="baseline"/>
      </w:rPr>
    </w:lvl>
    <w:lvl w:ilvl="3" w:tplc="B03EC24E">
      <w:start w:val="1"/>
      <w:numFmt w:val="decimal"/>
      <w:lvlText w:val="%4"/>
      <w:lvlJc w:val="left"/>
      <w:pPr>
        <w:ind w:left="5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70626C">
      <w:start w:val="1"/>
      <w:numFmt w:val="lowerLetter"/>
      <w:lvlText w:val="%5"/>
      <w:lvlJc w:val="left"/>
      <w:pPr>
        <w:ind w:left="6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2A5CAC">
      <w:start w:val="1"/>
      <w:numFmt w:val="lowerRoman"/>
      <w:lvlText w:val="%6"/>
      <w:lvlJc w:val="left"/>
      <w:pPr>
        <w:ind w:left="6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B44426">
      <w:start w:val="1"/>
      <w:numFmt w:val="decimal"/>
      <w:lvlText w:val="%7"/>
      <w:lvlJc w:val="left"/>
      <w:pPr>
        <w:ind w:left="7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E03128">
      <w:start w:val="1"/>
      <w:numFmt w:val="lowerLetter"/>
      <w:lvlText w:val="%8"/>
      <w:lvlJc w:val="left"/>
      <w:pPr>
        <w:ind w:left="8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6EEB22">
      <w:start w:val="1"/>
      <w:numFmt w:val="lowerRoman"/>
      <w:lvlText w:val="%9"/>
      <w:lvlJc w:val="left"/>
      <w:pPr>
        <w:ind w:left="8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044A9A"/>
    <w:multiLevelType w:val="hybridMultilevel"/>
    <w:tmpl w:val="97ECD732"/>
    <w:lvl w:ilvl="0" w:tplc="04090001">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10" w15:restartNumberingAfterBreak="0">
    <w:nsid w:val="4B2224D7"/>
    <w:multiLevelType w:val="hybridMultilevel"/>
    <w:tmpl w:val="16260812"/>
    <w:lvl w:ilvl="0" w:tplc="C16E54EE">
      <w:start w:val="1"/>
      <w:numFmt w:val="upperLetter"/>
      <w:lvlText w:val="%1."/>
      <w:lvlJc w:val="left"/>
      <w:pPr>
        <w:ind w:left="1440" w:firstLine="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11" w15:restartNumberingAfterBreak="0">
    <w:nsid w:val="4B913A3A"/>
    <w:multiLevelType w:val="hybridMultilevel"/>
    <w:tmpl w:val="9A8C51CC"/>
    <w:lvl w:ilvl="0" w:tplc="04090015">
      <w:start w:val="1"/>
      <w:numFmt w:val="upperLetter"/>
      <w:lvlText w:val="%1."/>
      <w:lvlJc w:val="left"/>
      <w:pPr>
        <w:ind w:left="1276"/>
      </w:pPr>
      <w:rPr>
        <w:b w:val="0"/>
        <w:i w:val="0"/>
        <w:strike w:val="0"/>
        <w:dstrike w:val="0"/>
        <w:color w:val="000000"/>
        <w:sz w:val="24"/>
        <w:szCs w:val="24"/>
        <w:u w:val="none" w:color="000000"/>
        <w:bdr w:val="none" w:sz="0" w:space="0" w:color="auto"/>
        <w:shd w:val="clear" w:color="auto" w:fill="auto"/>
        <w:vertAlign w:val="baseline"/>
      </w:rPr>
    </w:lvl>
    <w:lvl w:ilvl="1" w:tplc="6600862C">
      <w:start w:val="1"/>
      <w:numFmt w:val="upperLetter"/>
      <w:lvlText w:val="%2."/>
      <w:lvlJc w:val="left"/>
      <w:pPr>
        <w:ind w:left="1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09001B">
      <w:start w:val="1"/>
      <w:numFmt w:val="lowerRoman"/>
      <w:lvlText w:val="%3."/>
      <w:lvlJc w:val="right"/>
      <w:pPr>
        <w:ind w:left="1779"/>
      </w:pPr>
      <w:rPr>
        <w:b w:val="0"/>
        <w:i w:val="0"/>
        <w:strike w:val="0"/>
        <w:dstrike w:val="0"/>
        <w:color w:val="000000"/>
        <w:sz w:val="24"/>
        <w:szCs w:val="24"/>
        <w:u w:val="none" w:color="000000"/>
        <w:bdr w:val="none" w:sz="0" w:space="0" w:color="auto"/>
        <w:shd w:val="clear" w:color="auto" w:fill="auto"/>
        <w:vertAlign w:val="baseline"/>
      </w:rPr>
    </w:lvl>
    <w:lvl w:ilvl="3" w:tplc="B03EC24E">
      <w:start w:val="1"/>
      <w:numFmt w:val="decimal"/>
      <w:lvlText w:val="%4"/>
      <w:lvlJc w:val="left"/>
      <w:pPr>
        <w:ind w:left="2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70626C">
      <w:start w:val="1"/>
      <w:numFmt w:val="lowerLetter"/>
      <w:lvlText w:val="%5"/>
      <w:lvlJc w:val="left"/>
      <w:pPr>
        <w:ind w:left="3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2A5CAC">
      <w:start w:val="1"/>
      <w:numFmt w:val="lowerRoman"/>
      <w:lvlText w:val="%6"/>
      <w:lvlJc w:val="left"/>
      <w:pPr>
        <w:ind w:left="3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B44426">
      <w:start w:val="1"/>
      <w:numFmt w:val="decimal"/>
      <w:lvlText w:val="%7"/>
      <w:lvlJc w:val="left"/>
      <w:pPr>
        <w:ind w:left="4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E03128">
      <w:start w:val="1"/>
      <w:numFmt w:val="lowerLetter"/>
      <w:lvlText w:val="%8"/>
      <w:lvlJc w:val="left"/>
      <w:pPr>
        <w:ind w:left="5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6EEB22">
      <w:start w:val="1"/>
      <w:numFmt w:val="lowerRoman"/>
      <w:lvlText w:val="%9"/>
      <w:lvlJc w:val="left"/>
      <w:pPr>
        <w:ind w:left="6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35782B"/>
    <w:multiLevelType w:val="hybridMultilevel"/>
    <w:tmpl w:val="CA8A9DE4"/>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15:restartNumberingAfterBreak="0">
    <w:nsid w:val="541750AC"/>
    <w:multiLevelType w:val="hybridMultilevel"/>
    <w:tmpl w:val="5AB4174E"/>
    <w:lvl w:ilvl="0" w:tplc="837CBFD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CA24A8">
      <w:start w:val="1"/>
      <w:numFmt w:val="bullet"/>
      <w:lvlText w:val="o"/>
      <w:lvlJc w:val="left"/>
      <w:pPr>
        <w:ind w:left="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C2AAA2">
      <w:start w:val="1"/>
      <w:numFmt w:val="bullet"/>
      <w:lvlText w:val="▪"/>
      <w:lvlJc w:val="left"/>
      <w:pPr>
        <w:ind w:left="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6649A0">
      <w:start w:val="1"/>
      <w:numFmt w:val="bullet"/>
      <w:lvlRestart w:val="0"/>
      <w:lvlText w:val="•"/>
      <w:lvlJc w:val="left"/>
      <w:pPr>
        <w:ind w:left="1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001626">
      <w:start w:val="1"/>
      <w:numFmt w:val="bullet"/>
      <w:lvlText w:val="o"/>
      <w:lvlJc w:val="left"/>
      <w:pPr>
        <w:ind w:left="1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A8C926">
      <w:start w:val="1"/>
      <w:numFmt w:val="bullet"/>
      <w:lvlText w:val="▪"/>
      <w:lvlJc w:val="left"/>
      <w:pPr>
        <w:ind w:left="2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64A6BC">
      <w:start w:val="1"/>
      <w:numFmt w:val="bullet"/>
      <w:lvlText w:val="•"/>
      <w:lvlJc w:val="left"/>
      <w:pPr>
        <w:ind w:left="3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1A61E6">
      <w:start w:val="1"/>
      <w:numFmt w:val="bullet"/>
      <w:lvlText w:val="o"/>
      <w:lvlJc w:val="left"/>
      <w:pPr>
        <w:ind w:left="4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28934A">
      <w:start w:val="1"/>
      <w:numFmt w:val="bullet"/>
      <w:lvlText w:val="▪"/>
      <w:lvlJc w:val="left"/>
      <w:pPr>
        <w:ind w:left="4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4F3E51"/>
    <w:multiLevelType w:val="hybridMultilevel"/>
    <w:tmpl w:val="E31AD954"/>
    <w:lvl w:ilvl="0" w:tplc="C16E54EE">
      <w:start w:val="1"/>
      <w:numFmt w:val="upperLetter"/>
      <w:lvlText w:val="%1."/>
      <w:lvlJc w:val="left"/>
      <w:pPr>
        <w:ind w:left="1996"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15:restartNumberingAfterBreak="0">
    <w:nsid w:val="5ED43996"/>
    <w:multiLevelType w:val="hybridMultilevel"/>
    <w:tmpl w:val="C252556A"/>
    <w:lvl w:ilvl="0" w:tplc="0409001B">
      <w:start w:val="1"/>
      <w:numFmt w:val="lowerRoman"/>
      <w:lvlText w:val="%1."/>
      <w:lvlJc w:val="right"/>
      <w:pPr>
        <w:ind w:left="1050" w:hanging="360"/>
      </w:p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6" w15:restartNumberingAfterBreak="0">
    <w:nsid w:val="604C1921"/>
    <w:multiLevelType w:val="hybridMultilevel"/>
    <w:tmpl w:val="749860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1435B"/>
    <w:multiLevelType w:val="hybridMultilevel"/>
    <w:tmpl w:val="5F1068A8"/>
    <w:lvl w:ilvl="0" w:tplc="04090015">
      <w:start w:val="1"/>
      <w:numFmt w:val="upp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8" w15:restartNumberingAfterBreak="0">
    <w:nsid w:val="7DFF0073"/>
    <w:multiLevelType w:val="hybridMultilevel"/>
    <w:tmpl w:val="B06465A0"/>
    <w:lvl w:ilvl="0" w:tplc="EA00BB7C">
      <w:start w:val="1"/>
      <w:numFmt w:val="upperLetter"/>
      <w:lvlText w:val="%1."/>
      <w:lvlJc w:val="left"/>
      <w:pPr>
        <w:ind w:left="1276"/>
      </w:pPr>
      <w:rPr>
        <w:rFonts w:hint="default"/>
        <w:b w:val="0"/>
        <w:i w:val="0"/>
        <w:strike w:val="0"/>
        <w:dstrike w:val="0"/>
        <w:color w:val="000000"/>
        <w:sz w:val="24"/>
        <w:szCs w:val="24"/>
        <w:u w:val="none" w:color="000000"/>
        <w:bdr w:val="none" w:sz="0" w:space="0" w:color="auto"/>
        <w:shd w:val="clear" w:color="auto" w:fill="auto"/>
        <w:vertAlign w:val="baseline"/>
      </w:rPr>
    </w:lvl>
    <w:lvl w:ilvl="1" w:tplc="6600862C">
      <w:start w:val="1"/>
      <w:numFmt w:val="upperLetter"/>
      <w:lvlText w:val="%2."/>
      <w:lvlJc w:val="left"/>
      <w:pPr>
        <w:ind w:left="1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09000F">
      <w:start w:val="1"/>
      <w:numFmt w:val="decimal"/>
      <w:lvlText w:val="%3."/>
      <w:lvlJc w:val="left"/>
      <w:pPr>
        <w:ind w:left="1779"/>
      </w:pPr>
      <w:rPr>
        <w:b w:val="0"/>
        <w:i w:val="0"/>
        <w:strike w:val="0"/>
        <w:dstrike w:val="0"/>
        <w:color w:val="000000"/>
        <w:sz w:val="24"/>
        <w:szCs w:val="24"/>
        <w:u w:val="none" w:color="000000"/>
        <w:bdr w:val="none" w:sz="0" w:space="0" w:color="auto"/>
        <w:shd w:val="clear" w:color="auto" w:fill="auto"/>
        <w:vertAlign w:val="baseline"/>
      </w:rPr>
    </w:lvl>
    <w:lvl w:ilvl="3" w:tplc="B03EC24E">
      <w:start w:val="1"/>
      <w:numFmt w:val="decimal"/>
      <w:lvlText w:val="%4"/>
      <w:lvlJc w:val="left"/>
      <w:pPr>
        <w:ind w:left="2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70626C">
      <w:start w:val="1"/>
      <w:numFmt w:val="lowerLetter"/>
      <w:lvlText w:val="%5"/>
      <w:lvlJc w:val="left"/>
      <w:pPr>
        <w:ind w:left="3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2A5CAC">
      <w:start w:val="1"/>
      <w:numFmt w:val="lowerRoman"/>
      <w:lvlText w:val="%6"/>
      <w:lvlJc w:val="left"/>
      <w:pPr>
        <w:ind w:left="3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B44426">
      <w:start w:val="1"/>
      <w:numFmt w:val="decimal"/>
      <w:lvlText w:val="%7"/>
      <w:lvlJc w:val="left"/>
      <w:pPr>
        <w:ind w:left="4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E03128">
      <w:start w:val="1"/>
      <w:numFmt w:val="lowerLetter"/>
      <w:lvlText w:val="%8"/>
      <w:lvlJc w:val="left"/>
      <w:pPr>
        <w:ind w:left="5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6EEB22">
      <w:start w:val="1"/>
      <w:numFmt w:val="lowerRoman"/>
      <w:lvlText w:val="%9"/>
      <w:lvlJc w:val="left"/>
      <w:pPr>
        <w:ind w:left="6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4"/>
  </w:num>
  <w:num w:numId="3">
    <w:abstractNumId w:val="5"/>
  </w:num>
  <w:num w:numId="4">
    <w:abstractNumId w:val="6"/>
  </w:num>
  <w:num w:numId="5">
    <w:abstractNumId w:val="13"/>
  </w:num>
  <w:num w:numId="6">
    <w:abstractNumId w:val="12"/>
  </w:num>
  <w:num w:numId="7">
    <w:abstractNumId w:val="17"/>
  </w:num>
  <w:num w:numId="8">
    <w:abstractNumId w:val="15"/>
  </w:num>
  <w:num w:numId="9">
    <w:abstractNumId w:val="2"/>
  </w:num>
  <w:num w:numId="10">
    <w:abstractNumId w:val="7"/>
  </w:num>
  <w:num w:numId="11">
    <w:abstractNumId w:val="1"/>
  </w:num>
  <w:num w:numId="12">
    <w:abstractNumId w:val="10"/>
  </w:num>
  <w:num w:numId="13">
    <w:abstractNumId w:val="3"/>
  </w:num>
  <w:num w:numId="14">
    <w:abstractNumId w:val="14"/>
  </w:num>
  <w:num w:numId="15">
    <w:abstractNumId w:val="18"/>
  </w:num>
  <w:num w:numId="16">
    <w:abstractNumId w:val="8"/>
  </w:num>
  <w:num w:numId="17">
    <w:abstractNumId w:val="0"/>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F1"/>
    <w:rsid w:val="0001256F"/>
    <w:rsid w:val="00020833"/>
    <w:rsid w:val="0002097F"/>
    <w:rsid w:val="000216D8"/>
    <w:rsid w:val="0002296D"/>
    <w:rsid w:val="00027707"/>
    <w:rsid w:val="00037010"/>
    <w:rsid w:val="0004531C"/>
    <w:rsid w:val="00047131"/>
    <w:rsid w:val="00051034"/>
    <w:rsid w:val="00051F75"/>
    <w:rsid w:val="00057B86"/>
    <w:rsid w:val="00060F59"/>
    <w:rsid w:val="00061D75"/>
    <w:rsid w:val="000632E5"/>
    <w:rsid w:val="00064C2C"/>
    <w:rsid w:val="000726CF"/>
    <w:rsid w:val="000756E0"/>
    <w:rsid w:val="00090704"/>
    <w:rsid w:val="000959A1"/>
    <w:rsid w:val="000A4CAD"/>
    <w:rsid w:val="000A7096"/>
    <w:rsid w:val="000B4C94"/>
    <w:rsid w:val="000D4F85"/>
    <w:rsid w:val="000E2D17"/>
    <w:rsid w:val="0011237C"/>
    <w:rsid w:val="00113362"/>
    <w:rsid w:val="00114329"/>
    <w:rsid w:val="00114617"/>
    <w:rsid w:val="00130F76"/>
    <w:rsid w:val="00135D73"/>
    <w:rsid w:val="0014071A"/>
    <w:rsid w:val="00155F8E"/>
    <w:rsid w:val="0015665F"/>
    <w:rsid w:val="00157959"/>
    <w:rsid w:val="00170235"/>
    <w:rsid w:val="001813F2"/>
    <w:rsid w:val="00182306"/>
    <w:rsid w:val="00183F6B"/>
    <w:rsid w:val="001A07FA"/>
    <w:rsid w:val="001A38C2"/>
    <w:rsid w:val="001B2F65"/>
    <w:rsid w:val="001C1793"/>
    <w:rsid w:val="001C79A6"/>
    <w:rsid w:val="001E18A5"/>
    <w:rsid w:val="0020244F"/>
    <w:rsid w:val="00212704"/>
    <w:rsid w:val="00212FEC"/>
    <w:rsid w:val="00213DAE"/>
    <w:rsid w:val="002235F8"/>
    <w:rsid w:val="002321E7"/>
    <w:rsid w:val="002402F4"/>
    <w:rsid w:val="0024720B"/>
    <w:rsid w:val="002524EC"/>
    <w:rsid w:val="002537C5"/>
    <w:rsid w:val="002545B7"/>
    <w:rsid w:val="00277493"/>
    <w:rsid w:val="00282B51"/>
    <w:rsid w:val="00282CFC"/>
    <w:rsid w:val="002851F2"/>
    <w:rsid w:val="002900CA"/>
    <w:rsid w:val="002952FD"/>
    <w:rsid w:val="00295748"/>
    <w:rsid w:val="002B281B"/>
    <w:rsid w:val="002D05F8"/>
    <w:rsid w:val="002D1D92"/>
    <w:rsid w:val="002D23D4"/>
    <w:rsid w:val="002D6ECA"/>
    <w:rsid w:val="002D716B"/>
    <w:rsid w:val="002E1660"/>
    <w:rsid w:val="00300E35"/>
    <w:rsid w:val="003015A0"/>
    <w:rsid w:val="00325D5D"/>
    <w:rsid w:val="00330414"/>
    <w:rsid w:val="003359F3"/>
    <w:rsid w:val="00337619"/>
    <w:rsid w:val="00352313"/>
    <w:rsid w:val="00352371"/>
    <w:rsid w:val="00374D72"/>
    <w:rsid w:val="003913FE"/>
    <w:rsid w:val="00392681"/>
    <w:rsid w:val="003A19C4"/>
    <w:rsid w:val="003A74B5"/>
    <w:rsid w:val="003D6907"/>
    <w:rsid w:val="003D7264"/>
    <w:rsid w:val="003D7AA5"/>
    <w:rsid w:val="003D7B24"/>
    <w:rsid w:val="003E2F2B"/>
    <w:rsid w:val="003F431B"/>
    <w:rsid w:val="003F540C"/>
    <w:rsid w:val="003F5C46"/>
    <w:rsid w:val="00404B65"/>
    <w:rsid w:val="004108C6"/>
    <w:rsid w:val="00410BC1"/>
    <w:rsid w:val="00411CF7"/>
    <w:rsid w:val="0041266F"/>
    <w:rsid w:val="00413BAC"/>
    <w:rsid w:val="004157EE"/>
    <w:rsid w:val="004244C0"/>
    <w:rsid w:val="004373AD"/>
    <w:rsid w:val="0044227E"/>
    <w:rsid w:val="00443583"/>
    <w:rsid w:val="00447993"/>
    <w:rsid w:val="00456915"/>
    <w:rsid w:val="00456E4F"/>
    <w:rsid w:val="00462585"/>
    <w:rsid w:val="0046269D"/>
    <w:rsid w:val="00462850"/>
    <w:rsid w:val="00463F32"/>
    <w:rsid w:val="00465FBD"/>
    <w:rsid w:val="00470169"/>
    <w:rsid w:val="0047196E"/>
    <w:rsid w:val="004729C7"/>
    <w:rsid w:val="004730BA"/>
    <w:rsid w:val="00483C3F"/>
    <w:rsid w:val="00487F24"/>
    <w:rsid w:val="00492891"/>
    <w:rsid w:val="00492D45"/>
    <w:rsid w:val="004939EA"/>
    <w:rsid w:val="00496CD8"/>
    <w:rsid w:val="004C3BF6"/>
    <w:rsid w:val="004D0A7D"/>
    <w:rsid w:val="004D675A"/>
    <w:rsid w:val="004E0B06"/>
    <w:rsid w:val="004E21B0"/>
    <w:rsid w:val="004F5DCE"/>
    <w:rsid w:val="00503F7F"/>
    <w:rsid w:val="00504F61"/>
    <w:rsid w:val="00510C5A"/>
    <w:rsid w:val="0051241D"/>
    <w:rsid w:val="00516970"/>
    <w:rsid w:val="0056112B"/>
    <w:rsid w:val="005654DF"/>
    <w:rsid w:val="005806ED"/>
    <w:rsid w:val="00582ACD"/>
    <w:rsid w:val="005855E8"/>
    <w:rsid w:val="00592C81"/>
    <w:rsid w:val="00595762"/>
    <w:rsid w:val="005959D2"/>
    <w:rsid w:val="00596675"/>
    <w:rsid w:val="005A3DA1"/>
    <w:rsid w:val="005B31C6"/>
    <w:rsid w:val="005B3AE7"/>
    <w:rsid w:val="005C555E"/>
    <w:rsid w:val="005E3304"/>
    <w:rsid w:val="005E59ED"/>
    <w:rsid w:val="005F441F"/>
    <w:rsid w:val="005F5828"/>
    <w:rsid w:val="005F7FE2"/>
    <w:rsid w:val="00601EA1"/>
    <w:rsid w:val="006037D3"/>
    <w:rsid w:val="00603ADF"/>
    <w:rsid w:val="00603D5D"/>
    <w:rsid w:val="00604021"/>
    <w:rsid w:val="006054FC"/>
    <w:rsid w:val="006107D9"/>
    <w:rsid w:val="006113F2"/>
    <w:rsid w:val="0063020B"/>
    <w:rsid w:val="006368A4"/>
    <w:rsid w:val="0064076F"/>
    <w:rsid w:val="0064339E"/>
    <w:rsid w:val="00647AE7"/>
    <w:rsid w:val="0065275A"/>
    <w:rsid w:val="00657A02"/>
    <w:rsid w:val="006632FA"/>
    <w:rsid w:val="006742AE"/>
    <w:rsid w:val="006756DC"/>
    <w:rsid w:val="006842C3"/>
    <w:rsid w:val="00691D9B"/>
    <w:rsid w:val="006A07A6"/>
    <w:rsid w:val="006B35D8"/>
    <w:rsid w:val="006B4A5A"/>
    <w:rsid w:val="006B7051"/>
    <w:rsid w:val="006B78A4"/>
    <w:rsid w:val="006C1C93"/>
    <w:rsid w:val="006C347C"/>
    <w:rsid w:val="006E6912"/>
    <w:rsid w:val="006E6B13"/>
    <w:rsid w:val="006F1180"/>
    <w:rsid w:val="0070665E"/>
    <w:rsid w:val="00713BAA"/>
    <w:rsid w:val="00716890"/>
    <w:rsid w:val="00720679"/>
    <w:rsid w:val="00721D3B"/>
    <w:rsid w:val="007342A8"/>
    <w:rsid w:val="00745AB8"/>
    <w:rsid w:val="00750B06"/>
    <w:rsid w:val="0075481D"/>
    <w:rsid w:val="00756014"/>
    <w:rsid w:val="00756F7A"/>
    <w:rsid w:val="007775CF"/>
    <w:rsid w:val="0078420F"/>
    <w:rsid w:val="00790F46"/>
    <w:rsid w:val="007918E3"/>
    <w:rsid w:val="007A6D0C"/>
    <w:rsid w:val="007D2868"/>
    <w:rsid w:val="007D5014"/>
    <w:rsid w:val="007D5B39"/>
    <w:rsid w:val="007E343F"/>
    <w:rsid w:val="00810F8B"/>
    <w:rsid w:val="0081157D"/>
    <w:rsid w:val="00812219"/>
    <w:rsid w:val="008130EF"/>
    <w:rsid w:val="00823A25"/>
    <w:rsid w:val="00840590"/>
    <w:rsid w:val="00847357"/>
    <w:rsid w:val="00856FA8"/>
    <w:rsid w:val="0087763B"/>
    <w:rsid w:val="00882988"/>
    <w:rsid w:val="00882D8C"/>
    <w:rsid w:val="008843CE"/>
    <w:rsid w:val="008877F9"/>
    <w:rsid w:val="008924D5"/>
    <w:rsid w:val="008E68B9"/>
    <w:rsid w:val="008F1EF1"/>
    <w:rsid w:val="009058D8"/>
    <w:rsid w:val="00950FCF"/>
    <w:rsid w:val="00963646"/>
    <w:rsid w:val="00966909"/>
    <w:rsid w:val="00966F03"/>
    <w:rsid w:val="0097293A"/>
    <w:rsid w:val="00974FA8"/>
    <w:rsid w:val="0098439C"/>
    <w:rsid w:val="009925E6"/>
    <w:rsid w:val="009A502C"/>
    <w:rsid w:val="009B1E71"/>
    <w:rsid w:val="009B4F54"/>
    <w:rsid w:val="009D14D5"/>
    <w:rsid w:val="009D163E"/>
    <w:rsid w:val="009D220E"/>
    <w:rsid w:val="009D7E39"/>
    <w:rsid w:val="00A111EC"/>
    <w:rsid w:val="00A11FFF"/>
    <w:rsid w:val="00A15C59"/>
    <w:rsid w:val="00A20015"/>
    <w:rsid w:val="00A230FC"/>
    <w:rsid w:val="00A26C8B"/>
    <w:rsid w:val="00A3713E"/>
    <w:rsid w:val="00A41F08"/>
    <w:rsid w:val="00A55307"/>
    <w:rsid w:val="00A570D0"/>
    <w:rsid w:val="00A60626"/>
    <w:rsid w:val="00A63D84"/>
    <w:rsid w:val="00A70169"/>
    <w:rsid w:val="00A876AC"/>
    <w:rsid w:val="00A87AF9"/>
    <w:rsid w:val="00A97988"/>
    <w:rsid w:val="00AA3A62"/>
    <w:rsid w:val="00AA5928"/>
    <w:rsid w:val="00AB0DD0"/>
    <w:rsid w:val="00AB0DE8"/>
    <w:rsid w:val="00AD0CA0"/>
    <w:rsid w:val="00AE1785"/>
    <w:rsid w:val="00AE3C71"/>
    <w:rsid w:val="00B01343"/>
    <w:rsid w:val="00B04395"/>
    <w:rsid w:val="00B04434"/>
    <w:rsid w:val="00B05082"/>
    <w:rsid w:val="00B0786F"/>
    <w:rsid w:val="00B12E2D"/>
    <w:rsid w:val="00B141CD"/>
    <w:rsid w:val="00B21E2A"/>
    <w:rsid w:val="00B3365A"/>
    <w:rsid w:val="00B52995"/>
    <w:rsid w:val="00B74245"/>
    <w:rsid w:val="00B74819"/>
    <w:rsid w:val="00B83438"/>
    <w:rsid w:val="00B86CF9"/>
    <w:rsid w:val="00B960FC"/>
    <w:rsid w:val="00BB6509"/>
    <w:rsid w:val="00BC2759"/>
    <w:rsid w:val="00BC367F"/>
    <w:rsid w:val="00BC7A46"/>
    <w:rsid w:val="00BE316C"/>
    <w:rsid w:val="00BE37BA"/>
    <w:rsid w:val="00BE5FD7"/>
    <w:rsid w:val="00BF40AC"/>
    <w:rsid w:val="00BF5241"/>
    <w:rsid w:val="00C04C67"/>
    <w:rsid w:val="00C115A3"/>
    <w:rsid w:val="00C249A9"/>
    <w:rsid w:val="00C27478"/>
    <w:rsid w:val="00C45305"/>
    <w:rsid w:val="00C50471"/>
    <w:rsid w:val="00C5237C"/>
    <w:rsid w:val="00C523DC"/>
    <w:rsid w:val="00C70908"/>
    <w:rsid w:val="00C72EC8"/>
    <w:rsid w:val="00C74452"/>
    <w:rsid w:val="00C75EB0"/>
    <w:rsid w:val="00C84A99"/>
    <w:rsid w:val="00C93A24"/>
    <w:rsid w:val="00CC46A0"/>
    <w:rsid w:val="00CC6AD3"/>
    <w:rsid w:val="00CD25C0"/>
    <w:rsid w:val="00CF43A2"/>
    <w:rsid w:val="00D111DD"/>
    <w:rsid w:val="00D22A6E"/>
    <w:rsid w:val="00D26B72"/>
    <w:rsid w:val="00D40752"/>
    <w:rsid w:val="00D41A99"/>
    <w:rsid w:val="00D531D4"/>
    <w:rsid w:val="00D6075B"/>
    <w:rsid w:val="00D6339E"/>
    <w:rsid w:val="00D661E4"/>
    <w:rsid w:val="00D674CE"/>
    <w:rsid w:val="00D8752F"/>
    <w:rsid w:val="00DA62B1"/>
    <w:rsid w:val="00DA6EE3"/>
    <w:rsid w:val="00DD5845"/>
    <w:rsid w:val="00DE329C"/>
    <w:rsid w:val="00DE3EA9"/>
    <w:rsid w:val="00DF20F7"/>
    <w:rsid w:val="00E04D43"/>
    <w:rsid w:val="00E051B0"/>
    <w:rsid w:val="00E140B8"/>
    <w:rsid w:val="00E225F6"/>
    <w:rsid w:val="00E31F3A"/>
    <w:rsid w:val="00E346CA"/>
    <w:rsid w:val="00E45298"/>
    <w:rsid w:val="00E945AD"/>
    <w:rsid w:val="00E96955"/>
    <w:rsid w:val="00EA1085"/>
    <w:rsid w:val="00EA1839"/>
    <w:rsid w:val="00EA3EA4"/>
    <w:rsid w:val="00EC05C6"/>
    <w:rsid w:val="00EE6334"/>
    <w:rsid w:val="00F01166"/>
    <w:rsid w:val="00F06A2E"/>
    <w:rsid w:val="00F142D0"/>
    <w:rsid w:val="00F14A2C"/>
    <w:rsid w:val="00F1695E"/>
    <w:rsid w:val="00F2145F"/>
    <w:rsid w:val="00F22ED2"/>
    <w:rsid w:val="00F25410"/>
    <w:rsid w:val="00F36867"/>
    <w:rsid w:val="00F47A18"/>
    <w:rsid w:val="00F66556"/>
    <w:rsid w:val="00F67E0A"/>
    <w:rsid w:val="00F823EE"/>
    <w:rsid w:val="00F851B0"/>
    <w:rsid w:val="00F947F9"/>
    <w:rsid w:val="00F95483"/>
    <w:rsid w:val="00FA07AF"/>
    <w:rsid w:val="00FA1FDF"/>
    <w:rsid w:val="00FC2FE1"/>
    <w:rsid w:val="00FC5717"/>
    <w:rsid w:val="00FD03E4"/>
    <w:rsid w:val="00FE2F36"/>
    <w:rsid w:val="00FE54C5"/>
    <w:rsid w:val="00FF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2938C5"/>
  <w15:docId w15:val="{F4979FC6-D095-4859-A108-36F267AF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70" w:lineRule="auto"/>
      <w:ind w:left="34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line="316" w:lineRule="auto"/>
      <w:ind w:left="330" w:right="401"/>
      <w:outlineLvl w:val="0"/>
    </w:pPr>
    <w:rPr>
      <w:rFonts w:ascii="Calibri" w:eastAsia="Calibri" w:hAnsi="Calibri" w:cs="Calibri"/>
      <w:color w:val="00000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2"/>
    </w:rPr>
  </w:style>
  <w:style w:type="paragraph" w:styleId="ListParagraph">
    <w:name w:val="List Paragraph"/>
    <w:basedOn w:val="Normal"/>
    <w:uiPriority w:val="34"/>
    <w:qFormat/>
    <w:rsid w:val="00CD25C0"/>
    <w:pPr>
      <w:ind w:left="720"/>
      <w:contextualSpacing/>
    </w:pPr>
  </w:style>
  <w:style w:type="paragraph" w:styleId="BalloonText">
    <w:name w:val="Balloon Text"/>
    <w:basedOn w:val="Normal"/>
    <w:link w:val="BalloonTextChar"/>
    <w:uiPriority w:val="99"/>
    <w:semiHidden/>
    <w:unhideWhenUsed/>
    <w:rsid w:val="00020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833"/>
    <w:rPr>
      <w:rFonts w:ascii="Segoe UI" w:eastAsia="Calibri" w:hAnsi="Segoe UI" w:cs="Segoe UI"/>
      <w:color w:val="000000"/>
      <w:sz w:val="18"/>
      <w:szCs w:val="18"/>
    </w:rPr>
  </w:style>
  <w:style w:type="character" w:styleId="Hyperlink">
    <w:name w:val="Hyperlink"/>
    <w:basedOn w:val="DefaultParagraphFont"/>
    <w:uiPriority w:val="99"/>
    <w:unhideWhenUsed/>
    <w:rsid w:val="0087763B"/>
    <w:rPr>
      <w:color w:val="0563C1" w:themeColor="hyperlink"/>
      <w:u w:val="single"/>
    </w:rPr>
  </w:style>
  <w:style w:type="character" w:styleId="CommentReference">
    <w:name w:val="annotation reference"/>
    <w:basedOn w:val="DefaultParagraphFont"/>
    <w:uiPriority w:val="99"/>
    <w:semiHidden/>
    <w:unhideWhenUsed/>
    <w:rsid w:val="00392681"/>
    <w:rPr>
      <w:sz w:val="16"/>
      <w:szCs w:val="16"/>
    </w:rPr>
  </w:style>
  <w:style w:type="paragraph" w:styleId="CommentText">
    <w:name w:val="annotation text"/>
    <w:basedOn w:val="Normal"/>
    <w:link w:val="CommentTextChar"/>
    <w:uiPriority w:val="99"/>
    <w:semiHidden/>
    <w:unhideWhenUsed/>
    <w:rsid w:val="00392681"/>
    <w:pPr>
      <w:spacing w:line="240" w:lineRule="auto"/>
    </w:pPr>
    <w:rPr>
      <w:sz w:val="20"/>
      <w:szCs w:val="20"/>
    </w:rPr>
  </w:style>
  <w:style w:type="character" w:customStyle="1" w:styleId="CommentTextChar">
    <w:name w:val="Comment Text Char"/>
    <w:basedOn w:val="DefaultParagraphFont"/>
    <w:link w:val="CommentText"/>
    <w:uiPriority w:val="99"/>
    <w:semiHidden/>
    <w:rsid w:val="0039268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92681"/>
    <w:rPr>
      <w:b/>
      <w:bCs/>
    </w:rPr>
  </w:style>
  <w:style w:type="character" w:customStyle="1" w:styleId="CommentSubjectChar">
    <w:name w:val="Comment Subject Char"/>
    <w:basedOn w:val="CommentTextChar"/>
    <w:link w:val="CommentSubject"/>
    <w:uiPriority w:val="99"/>
    <w:semiHidden/>
    <w:rsid w:val="00392681"/>
    <w:rPr>
      <w:rFonts w:ascii="Calibri" w:eastAsia="Calibri" w:hAnsi="Calibri" w:cs="Calibri"/>
      <w:b/>
      <w:bCs/>
      <w:color w:val="000000"/>
      <w:sz w:val="20"/>
      <w:szCs w:val="20"/>
    </w:rPr>
  </w:style>
  <w:style w:type="paragraph" w:styleId="Revision">
    <w:name w:val="Revision"/>
    <w:hidden/>
    <w:uiPriority w:val="99"/>
    <w:semiHidden/>
    <w:rsid w:val="00C84A99"/>
    <w:pPr>
      <w:spacing w:after="0" w:line="240" w:lineRule="auto"/>
    </w:pPr>
    <w:rPr>
      <w:rFonts w:ascii="Calibri" w:eastAsia="Calibri" w:hAnsi="Calibri" w:cs="Calibri"/>
      <w:color w:val="000000"/>
      <w:sz w:val="24"/>
    </w:rPr>
  </w:style>
  <w:style w:type="character" w:styleId="FollowedHyperlink">
    <w:name w:val="FollowedHyperlink"/>
    <w:basedOn w:val="DefaultParagraphFont"/>
    <w:uiPriority w:val="99"/>
    <w:semiHidden/>
    <w:unhideWhenUsed/>
    <w:rsid w:val="006E6912"/>
    <w:rPr>
      <w:color w:val="954F72" w:themeColor="followedHyperlink"/>
      <w:u w:val="single"/>
    </w:rPr>
  </w:style>
  <w:style w:type="character" w:styleId="UnresolvedMention">
    <w:name w:val="Unresolved Mention"/>
    <w:basedOn w:val="DefaultParagraphFont"/>
    <w:uiPriority w:val="99"/>
    <w:semiHidden/>
    <w:unhideWhenUsed/>
    <w:rsid w:val="00F947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nih.gov/research/downloads/nuremberg.pdf" TargetMode="External"/><Relationship Id="rId13" Type="http://schemas.openxmlformats.org/officeDocument/2006/relationships/hyperlink" Target="https://www.uark.edu/privacy-policy/gdpr.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ccessdata.fda.gov/scripts/cdrh/cfdocs/cfcfr/CFRSearch.cfm?CFRPart=56" TargetMode="External"/><Relationship Id="rId17" Type="http://schemas.openxmlformats.org/officeDocument/2006/relationships/hyperlink" Target="mailto:ramage@uark.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cfa.uark.edu/fayetteville-policies-procedures/vprs/4040.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data.fda.gov/scripts/cdrh/cfdocs/cfcfr/CFRSearch.cfm?CFRPart=5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earch.uark.edu/units/rscp/" TargetMode="External"/><Relationship Id="rId23" Type="http://schemas.openxmlformats.org/officeDocument/2006/relationships/footer" Target="footer3.xml"/><Relationship Id="rId10" Type="http://schemas.openxmlformats.org/officeDocument/2006/relationships/hyperlink" Target="https://www.ecfr.gov/cgi-bin/retrieveECFR?gp=&amp;SID=83cd09e1c0f5c6937cd9d7513160fc3f&amp;pitd=20180719&amp;n=pt45.1.46&amp;r=PART&amp;ty=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hhs.gov/ohrp/sites/default/files/the-belmont-report-508c_FINAL.pdf" TargetMode="External"/><Relationship Id="rId14" Type="http://schemas.openxmlformats.org/officeDocument/2006/relationships/hyperlink" Target="https://www.hhs.gov/ohr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D8376-9C21-429C-9590-ABCBED46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https://vcfa.uark.edu/policies/fayetteville/rssp/7010.php</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https://vcfa.uark.edu/policies/fayetteville/rssp/7010.php</dc:title>
  <dc:subject/>
  <dc:creator>Candita Meek</dc:creator>
  <cp:keywords/>
  <dc:description/>
  <cp:lastModifiedBy>Jason G. Ramage</cp:lastModifiedBy>
  <cp:revision>4</cp:revision>
  <cp:lastPrinted>2016-10-18T19:29:00Z</cp:lastPrinted>
  <dcterms:created xsi:type="dcterms:W3CDTF">2019-09-25T18:11:00Z</dcterms:created>
  <dcterms:modified xsi:type="dcterms:W3CDTF">2019-12-03T14:21:00Z</dcterms:modified>
</cp:coreProperties>
</file>