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D5" w:rsidRDefault="004869D4" w:rsidP="004869D4">
      <w:pPr>
        <w:jc w:val="center"/>
      </w:pPr>
      <w:r>
        <w:t>Committee on Appointment, Promotion and Tenure</w:t>
      </w:r>
    </w:p>
    <w:p w:rsidR="004869D4" w:rsidRDefault="009216D0" w:rsidP="004869D4">
      <w:pPr>
        <w:jc w:val="center"/>
      </w:pPr>
      <w:r>
        <w:t>01/</w:t>
      </w:r>
      <w:r w:rsidR="006309DA">
        <w:t>16</w:t>
      </w:r>
      <w:r>
        <w:t xml:space="preserve">/2019 </w:t>
      </w:r>
    </w:p>
    <w:p w:rsidR="004869D4" w:rsidRDefault="009216D0" w:rsidP="004869D4">
      <w:pPr>
        <w:jc w:val="center"/>
      </w:pPr>
      <w:r>
        <w:t xml:space="preserve">Report to Faculty Senate </w:t>
      </w:r>
    </w:p>
    <w:p w:rsidR="004869D4" w:rsidRDefault="004869D4" w:rsidP="004869D4">
      <w:pPr>
        <w:pStyle w:val="ListParagraph"/>
        <w:numPr>
          <w:ilvl w:val="0"/>
          <w:numId w:val="1"/>
        </w:numPr>
      </w:pPr>
      <w:r>
        <w:t>Current Status</w:t>
      </w:r>
    </w:p>
    <w:p w:rsidR="004869D4" w:rsidRDefault="004869D4" w:rsidP="004869D4">
      <w:pPr>
        <w:pStyle w:val="ListParagraph"/>
        <w:numPr>
          <w:ilvl w:val="0"/>
          <w:numId w:val="2"/>
        </w:numPr>
      </w:pPr>
      <w:r>
        <w:t>Draft revisions to existing 1405.11 approximately  completed</w:t>
      </w:r>
    </w:p>
    <w:p w:rsidR="004869D4" w:rsidRDefault="004869D4" w:rsidP="009216D0">
      <w:pPr>
        <w:pStyle w:val="ListParagraph"/>
        <w:numPr>
          <w:ilvl w:val="1"/>
          <w:numId w:val="2"/>
        </w:numPr>
      </w:pPr>
      <w:r>
        <w:t>Reviewed by Provost, University Council</w:t>
      </w:r>
      <w:r w:rsidR="009216D0">
        <w:t>, and APT Committee</w:t>
      </w:r>
    </w:p>
    <w:p w:rsidR="004869D4" w:rsidRDefault="004869D4" w:rsidP="004869D4">
      <w:pPr>
        <w:pStyle w:val="ListParagraph"/>
        <w:numPr>
          <w:ilvl w:val="0"/>
          <w:numId w:val="2"/>
        </w:numPr>
      </w:pPr>
      <w:r>
        <w:t>Non-Tenure-Track policy developed by John Delery committee must be reconciled and added to 1405.11</w:t>
      </w:r>
    </w:p>
    <w:p w:rsidR="004869D4" w:rsidRDefault="004869D4" w:rsidP="004869D4">
      <w:pPr>
        <w:pStyle w:val="ListParagraph"/>
        <w:numPr>
          <w:ilvl w:val="0"/>
          <w:numId w:val="1"/>
        </w:numPr>
      </w:pPr>
      <w:r>
        <w:t>Next Steps</w:t>
      </w:r>
    </w:p>
    <w:p w:rsidR="004869D4" w:rsidRDefault="004869D4" w:rsidP="004869D4">
      <w:pPr>
        <w:pStyle w:val="ListParagraph"/>
        <w:numPr>
          <w:ilvl w:val="1"/>
          <w:numId w:val="1"/>
        </w:numPr>
      </w:pPr>
      <w:r>
        <w:t>Submit completed 1405.11 policy to Faculty Senate in January, 2019</w:t>
      </w:r>
    </w:p>
    <w:p w:rsidR="004869D4" w:rsidRDefault="004869D4" w:rsidP="004869D4">
      <w:pPr>
        <w:pStyle w:val="ListParagraph"/>
        <w:numPr>
          <w:ilvl w:val="2"/>
          <w:numId w:val="1"/>
        </w:numPr>
      </w:pPr>
      <w:r>
        <w:t>Inform Senate that as they consider the draft of current 1405.11, APT will be reconciling and adding Delery NTT policy text to 1405.11</w:t>
      </w:r>
    </w:p>
    <w:p w:rsidR="004869D4" w:rsidRDefault="004869D4" w:rsidP="004869D4">
      <w:pPr>
        <w:pStyle w:val="ListParagraph"/>
        <w:numPr>
          <w:ilvl w:val="2"/>
          <w:numId w:val="1"/>
        </w:numPr>
      </w:pPr>
      <w:r>
        <w:t>Goal will be to deliver combined policy to Faculty Senate no later than March 2019</w:t>
      </w:r>
    </w:p>
    <w:p w:rsidR="009216D0" w:rsidRDefault="004869D4" w:rsidP="009216D0">
      <w:pPr>
        <w:pStyle w:val="ListParagraph"/>
        <w:numPr>
          <w:ilvl w:val="0"/>
          <w:numId w:val="1"/>
        </w:numPr>
      </w:pPr>
      <w:r>
        <w:t xml:space="preserve">Summary of Major Changes </w:t>
      </w:r>
    </w:p>
    <w:p w:rsidR="005E65A7" w:rsidRDefault="009216D0" w:rsidP="00DE541B">
      <w:pPr>
        <w:pStyle w:val="ListParagraph"/>
        <w:numPr>
          <w:ilvl w:val="2"/>
          <w:numId w:val="4"/>
        </w:numPr>
        <w:ind w:left="1350"/>
      </w:pPr>
      <w:r>
        <w:t>D</w:t>
      </w:r>
      <w:r w:rsidR="005E65A7">
        <w:t>rafted “quality statement” as rational</w:t>
      </w:r>
      <w:r w:rsidR="00217E53">
        <w:t>e</w:t>
      </w:r>
      <w:r w:rsidR="005E65A7">
        <w:t xml:space="preserve"> for 1405.11</w:t>
      </w:r>
      <w:r w:rsidR="00C523F2">
        <w:t xml:space="preserve"> (p. 2)</w:t>
      </w:r>
    </w:p>
    <w:p w:rsidR="004869D4" w:rsidRDefault="009058EA" w:rsidP="009058EA">
      <w:pPr>
        <w:pStyle w:val="ListParagraph"/>
        <w:numPr>
          <w:ilvl w:val="0"/>
          <w:numId w:val="3"/>
        </w:numPr>
      </w:pPr>
      <w:r>
        <w:t xml:space="preserve">Developed procedures for </w:t>
      </w:r>
      <w:r w:rsidR="009C21CB">
        <w:t>i</w:t>
      </w:r>
      <w:r>
        <w:t xml:space="preserve">nitial </w:t>
      </w:r>
      <w:r w:rsidR="009C21CB">
        <w:t>a</w:t>
      </w:r>
      <w:r>
        <w:t>ppointment at Associate Professor or higher rank and for initial appointment with tenure</w:t>
      </w:r>
      <w:r w:rsidR="00C523F2">
        <w:t xml:space="preserve"> (p. 3)</w:t>
      </w:r>
    </w:p>
    <w:p w:rsidR="00DE541B" w:rsidRDefault="00DE541B" w:rsidP="009058EA">
      <w:pPr>
        <w:pStyle w:val="ListParagraph"/>
        <w:numPr>
          <w:ilvl w:val="0"/>
          <w:numId w:val="3"/>
        </w:numPr>
      </w:pPr>
      <w:r>
        <w:t>Combined “Annual Review” into one section and deleted redundancies (pp. 4-6)</w:t>
      </w:r>
    </w:p>
    <w:p w:rsidR="00DE541B" w:rsidRPr="00DE541B" w:rsidRDefault="00DE541B" w:rsidP="00DE541B">
      <w:pPr>
        <w:pStyle w:val="ListParagraph"/>
        <w:numPr>
          <w:ilvl w:val="0"/>
          <w:numId w:val="3"/>
        </w:numPr>
      </w:pPr>
      <w:r w:rsidRPr="00DE541B">
        <w:t>Revised appeal procedure for faculty disputing annual evaluation or recommendation (Dean is the decider) (p. 6)</w:t>
      </w:r>
    </w:p>
    <w:p w:rsidR="00841C46" w:rsidRDefault="00841C46" w:rsidP="009058EA">
      <w:pPr>
        <w:pStyle w:val="ListParagraph"/>
        <w:numPr>
          <w:ilvl w:val="0"/>
          <w:numId w:val="3"/>
        </w:numPr>
      </w:pPr>
      <w:r>
        <w:t>Created new section on “Peer Review” and its role in Annual Review and Post-Tenure Review</w:t>
      </w:r>
      <w:r w:rsidR="005E65A7">
        <w:t xml:space="preserve"> processes</w:t>
      </w:r>
      <w:r w:rsidR="00C523F2">
        <w:t xml:space="preserve"> (pp. 6-7)</w:t>
      </w:r>
    </w:p>
    <w:p w:rsidR="00D4073B" w:rsidRDefault="00D4073B" w:rsidP="00D4073B">
      <w:pPr>
        <w:pStyle w:val="ListParagraph"/>
        <w:numPr>
          <w:ilvl w:val="0"/>
          <w:numId w:val="3"/>
        </w:numPr>
      </w:pPr>
      <w:r w:rsidRPr="00D4073B">
        <w:t>Specified eligibility to vote in Peer Review elections; specified eligibility to serve on these committees; and eligibility of committee members to vote on various tenure/rank combinations</w:t>
      </w:r>
      <w:r w:rsidR="00811240">
        <w:t xml:space="preserve"> (p.6)</w:t>
      </w:r>
    </w:p>
    <w:p w:rsidR="00841C46" w:rsidRDefault="00841C46" w:rsidP="009058EA">
      <w:pPr>
        <w:pStyle w:val="ListParagraph"/>
        <w:numPr>
          <w:ilvl w:val="0"/>
          <w:numId w:val="3"/>
        </w:numPr>
      </w:pPr>
      <w:r>
        <w:t>Wrote new section on Third-Year Review, including specific evaluation outcomes</w:t>
      </w:r>
      <w:r w:rsidR="00C523F2">
        <w:t xml:space="preserve"> (p. 7)</w:t>
      </w:r>
    </w:p>
    <w:p w:rsidR="009216D0" w:rsidRDefault="009216D0" w:rsidP="009216D0">
      <w:pPr>
        <w:pStyle w:val="ListParagraph"/>
        <w:numPr>
          <w:ilvl w:val="0"/>
          <w:numId w:val="3"/>
        </w:numPr>
      </w:pPr>
      <w:r>
        <w:t>Incorporated Board language on Post-Tenure Review</w:t>
      </w:r>
      <w:r w:rsidR="00C523F2">
        <w:t xml:space="preserve"> (p</w:t>
      </w:r>
      <w:r w:rsidR="00DE541B">
        <w:t>p</w:t>
      </w:r>
      <w:r w:rsidR="00C523F2">
        <w:t>. 7-8)</w:t>
      </w:r>
    </w:p>
    <w:p w:rsidR="00DE541B" w:rsidRDefault="00DE541B" w:rsidP="009216D0">
      <w:pPr>
        <w:pStyle w:val="ListParagraph"/>
        <w:numPr>
          <w:ilvl w:val="0"/>
          <w:numId w:val="3"/>
        </w:numPr>
      </w:pPr>
      <w:r>
        <w:t>Defined “unsatisfactory” performance (pp. 7-8)</w:t>
      </w:r>
    </w:p>
    <w:p w:rsidR="009216D0" w:rsidRDefault="009216D0" w:rsidP="009216D0">
      <w:pPr>
        <w:pStyle w:val="ListParagraph"/>
        <w:numPr>
          <w:ilvl w:val="0"/>
          <w:numId w:val="3"/>
        </w:numPr>
      </w:pPr>
      <w:r>
        <w:t>Developed/Incorporated new, expanded “Criteria for Assessing Faculty Performance” in teaching/professional performance, scholarship/creative activities, and academically-related service</w:t>
      </w:r>
      <w:r w:rsidR="0019554F">
        <w:t xml:space="preserve"> (pp. 8-12)</w:t>
      </w:r>
    </w:p>
    <w:p w:rsidR="004B3ABE" w:rsidRDefault="004B3ABE" w:rsidP="009216D0">
      <w:pPr>
        <w:pStyle w:val="ListParagraph"/>
        <w:numPr>
          <w:ilvl w:val="0"/>
          <w:numId w:val="3"/>
        </w:numPr>
      </w:pPr>
      <w:r>
        <w:t>For teaching, require both numerical and qualitative (comments) be reported by faculty as part of Annual Review (p. 9) and promotion/tenure packets (p. 16)</w:t>
      </w:r>
    </w:p>
    <w:p w:rsidR="00DE541B" w:rsidRDefault="00DE541B" w:rsidP="009216D0">
      <w:pPr>
        <w:pStyle w:val="ListParagraph"/>
        <w:numPr>
          <w:ilvl w:val="0"/>
          <w:numId w:val="3"/>
        </w:numPr>
      </w:pPr>
      <w:r>
        <w:t xml:space="preserve">Require one additional (other than student end-of-course evaluations) item of evidence on teaching performance (choose from among listed items) (pp. 9-10) </w:t>
      </w:r>
    </w:p>
    <w:p w:rsidR="00D4073B" w:rsidRDefault="00D4073B" w:rsidP="00D4073B">
      <w:pPr>
        <w:pStyle w:val="ListParagraph"/>
        <w:numPr>
          <w:ilvl w:val="0"/>
          <w:numId w:val="3"/>
        </w:numPr>
      </w:pPr>
      <w:r>
        <w:t>Minor revisions to “Professional Performance” section of Annual Review</w:t>
      </w:r>
      <w:r w:rsidR="003F2DCD">
        <w:t xml:space="preserve"> (p. 10)</w:t>
      </w:r>
    </w:p>
    <w:p w:rsidR="009058EA" w:rsidRDefault="00841C46" w:rsidP="009058EA">
      <w:pPr>
        <w:pStyle w:val="ListParagraph"/>
        <w:numPr>
          <w:ilvl w:val="0"/>
          <w:numId w:val="3"/>
        </w:numPr>
      </w:pPr>
      <w:r>
        <w:t>Developed</w:t>
      </w:r>
      <w:r w:rsidR="009058EA">
        <w:t xml:space="preserve"> criteria statement for promotion to Associate and Full Professor</w:t>
      </w:r>
      <w:r w:rsidR="005E65A7">
        <w:t xml:space="preserve"> ranks</w:t>
      </w:r>
      <w:r w:rsidR="0019554F">
        <w:t xml:space="preserve"> (pp. 13-14)</w:t>
      </w:r>
    </w:p>
    <w:p w:rsidR="009C21CB" w:rsidRDefault="00590EC2" w:rsidP="009058EA">
      <w:pPr>
        <w:pStyle w:val="ListParagraph"/>
        <w:numPr>
          <w:ilvl w:val="0"/>
          <w:numId w:val="3"/>
        </w:numPr>
      </w:pPr>
      <w:r>
        <w:t xml:space="preserve">Limited </w:t>
      </w:r>
      <w:r w:rsidR="009216D0">
        <w:t xml:space="preserve">promotion/tenure </w:t>
      </w:r>
      <w:r>
        <w:t xml:space="preserve">candidate additions to file to three specific points: receipt of (a) redacted letters; (b) receipt of unit chair and personnel committee letters; (c) College committee and Dean’s </w:t>
      </w:r>
      <w:r w:rsidR="009C21CB">
        <w:t xml:space="preserve">letters. Specified that additions may only be made to correct errors of </w:t>
      </w:r>
      <w:r w:rsidR="009216D0">
        <w:t>fact OR to update one or more items originally included in dossier</w:t>
      </w:r>
      <w:r w:rsidR="00D4073B">
        <w:t xml:space="preserve"> (p</w:t>
      </w:r>
      <w:r w:rsidR="004B3ABE">
        <w:t>p. 15-</w:t>
      </w:r>
      <w:r w:rsidR="00D4073B">
        <w:t>16)</w:t>
      </w:r>
    </w:p>
    <w:p w:rsidR="009C21CB" w:rsidRDefault="009C21CB" w:rsidP="009058EA">
      <w:pPr>
        <w:pStyle w:val="ListParagraph"/>
        <w:numPr>
          <w:ilvl w:val="0"/>
          <w:numId w:val="3"/>
        </w:numPr>
      </w:pPr>
      <w:r>
        <w:t>Revised External Review Letters policy</w:t>
      </w:r>
      <w:r w:rsidR="0019554F">
        <w:t xml:space="preserve"> </w:t>
      </w:r>
      <w:r w:rsidR="00D4073B">
        <w:t>(pp. 17-19)</w:t>
      </w:r>
    </w:p>
    <w:p w:rsidR="009C21CB" w:rsidRDefault="009C21CB" w:rsidP="009C21CB">
      <w:pPr>
        <w:pStyle w:val="ListParagraph"/>
        <w:numPr>
          <w:ilvl w:val="1"/>
          <w:numId w:val="3"/>
        </w:numPr>
      </w:pPr>
      <w:r>
        <w:t>Defined “qualified, impartial reviewers”</w:t>
      </w:r>
      <w:r w:rsidR="00D4073B">
        <w:t xml:space="preserve"> (p. 17)</w:t>
      </w:r>
    </w:p>
    <w:p w:rsidR="00D4073B" w:rsidRDefault="00D4073B" w:rsidP="009C21CB">
      <w:pPr>
        <w:pStyle w:val="ListParagraph"/>
        <w:numPr>
          <w:ilvl w:val="1"/>
          <w:numId w:val="3"/>
        </w:numPr>
      </w:pPr>
      <w:r>
        <w:t xml:space="preserve">Defined process for special cases </w:t>
      </w:r>
      <w:r w:rsidR="00811240">
        <w:t xml:space="preserve">when previous cannot be met </w:t>
      </w:r>
      <w:r>
        <w:t>(p. 17)</w:t>
      </w:r>
    </w:p>
    <w:p w:rsidR="00590EC2" w:rsidRDefault="009C21CB" w:rsidP="009C21CB">
      <w:pPr>
        <w:pStyle w:val="ListParagraph"/>
        <w:numPr>
          <w:ilvl w:val="1"/>
          <w:numId w:val="3"/>
        </w:numPr>
      </w:pPr>
      <w:r>
        <w:t>Specified that candidate may not contact (potential) external reviewers</w:t>
      </w:r>
      <w:r w:rsidR="00590EC2">
        <w:t xml:space="preserve"> </w:t>
      </w:r>
      <w:r w:rsidR="00D4073B">
        <w:t>(p. 17)</w:t>
      </w:r>
    </w:p>
    <w:p w:rsidR="009058EA" w:rsidRDefault="009C21CB" w:rsidP="009058EA">
      <w:pPr>
        <w:pStyle w:val="ListParagraph"/>
        <w:numPr>
          <w:ilvl w:val="1"/>
          <w:numId w:val="3"/>
        </w:numPr>
      </w:pPr>
      <w:r>
        <w:t>Allowed each College to determine the relevant dimensions to be addressed by outside reviewers</w:t>
      </w:r>
      <w:r w:rsidR="00D4073B">
        <w:t xml:space="preserve"> (p. 18)</w:t>
      </w:r>
    </w:p>
    <w:p w:rsidR="00811240" w:rsidRPr="00811240" w:rsidRDefault="00811240" w:rsidP="00811240">
      <w:pPr>
        <w:pStyle w:val="ListParagraph"/>
        <w:numPr>
          <w:ilvl w:val="0"/>
          <w:numId w:val="3"/>
        </w:numPr>
      </w:pPr>
      <w:r w:rsidRPr="00D4073B">
        <w:t>Specified eligibility to vote in Personnel Committee elections; specified eligibility to serve on these committees; and eligibility of committee members to vote on various tenure/rank combinations</w:t>
      </w:r>
      <w:r>
        <w:t xml:space="preserve"> </w:t>
      </w:r>
      <w:r w:rsidRPr="00811240">
        <w:t>(pp. 19-21)</w:t>
      </w:r>
    </w:p>
    <w:p w:rsidR="00811240" w:rsidRDefault="00811240" w:rsidP="00811240">
      <w:pPr>
        <w:pStyle w:val="ListParagraph"/>
        <w:numPr>
          <w:ilvl w:val="1"/>
          <w:numId w:val="3"/>
        </w:numPr>
      </w:pPr>
      <w:r>
        <w:t>Specified that department heads/chairs shall not serve on Personnel Committee</w:t>
      </w:r>
    </w:p>
    <w:p w:rsidR="00811240" w:rsidRDefault="00811240" w:rsidP="00811240">
      <w:pPr>
        <w:pStyle w:val="ListParagraph"/>
        <w:numPr>
          <w:ilvl w:val="1"/>
          <w:numId w:val="3"/>
        </w:numPr>
      </w:pPr>
      <w:r>
        <w:t>Specified that Personnel Committee include minimum of one NTT faculty IF eligible to serve</w:t>
      </w:r>
    </w:p>
    <w:p w:rsidR="00811240" w:rsidRDefault="00811240" w:rsidP="00811240">
      <w:pPr>
        <w:pStyle w:val="ListParagraph"/>
        <w:numPr>
          <w:ilvl w:val="1"/>
          <w:numId w:val="3"/>
        </w:numPr>
      </w:pPr>
      <w:r>
        <w:lastRenderedPageBreak/>
        <w:t>Specified no “above rank” voting except that Professors may vote on UP or DP candidates</w:t>
      </w:r>
    </w:p>
    <w:p w:rsidR="00217E53" w:rsidRDefault="00217E53" w:rsidP="00217E53">
      <w:pPr>
        <w:pStyle w:val="ListParagraph"/>
        <w:numPr>
          <w:ilvl w:val="0"/>
          <w:numId w:val="3"/>
        </w:numPr>
      </w:pPr>
      <w:r>
        <w:t>Developed requirements and procedures for units having fewer than three Personnel Committee members both eligible and voting on a specific candidate (p. 20)</w:t>
      </w:r>
    </w:p>
    <w:p w:rsidR="00D4073B" w:rsidRDefault="00D4073B" w:rsidP="00D4073B">
      <w:pPr>
        <w:pStyle w:val="ListParagraph"/>
        <w:numPr>
          <w:ilvl w:val="0"/>
          <w:numId w:val="3"/>
        </w:numPr>
      </w:pPr>
      <w:r>
        <w:t>Deleted the option to “Abstain” from a committee vote (p. 20)</w:t>
      </w:r>
    </w:p>
    <w:p w:rsidR="00D4073B" w:rsidRDefault="00D4073B" w:rsidP="00D4073B">
      <w:pPr>
        <w:pStyle w:val="ListParagraph"/>
        <w:numPr>
          <w:ilvl w:val="1"/>
          <w:numId w:val="3"/>
        </w:numPr>
      </w:pPr>
      <w:r>
        <w:t>Yes/No or Recuse [specified that a Recuse vote = absent and is not recorded or counted] (p</w:t>
      </w:r>
      <w:r w:rsidR="00811240">
        <w:t>.</w:t>
      </w:r>
      <w:r w:rsidR="00217E53">
        <w:t xml:space="preserve"> </w:t>
      </w:r>
      <w:r>
        <w:t>20)</w:t>
      </w:r>
    </w:p>
    <w:p w:rsidR="00D4073B" w:rsidRDefault="00D4073B" w:rsidP="00D4073B">
      <w:pPr>
        <w:pStyle w:val="ListParagraph"/>
        <w:numPr>
          <w:ilvl w:val="1"/>
          <w:numId w:val="3"/>
        </w:numPr>
      </w:pPr>
      <w:r>
        <w:t xml:space="preserve">Required votes to be by secret ballot </w:t>
      </w:r>
      <w:r w:rsidR="00217E53">
        <w:t>(p. 20)</w:t>
      </w:r>
    </w:p>
    <w:p w:rsidR="006309DA" w:rsidRDefault="006309DA" w:rsidP="00E54C16">
      <w:pPr>
        <w:pStyle w:val="ListParagraph"/>
        <w:numPr>
          <w:ilvl w:val="0"/>
          <w:numId w:val="3"/>
        </w:numPr>
      </w:pPr>
      <w:r>
        <w:t>Eliminated “multiple votes” at dept. and college and university levels (pp. 20-21)</w:t>
      </w:r>
    </w:p>
    <w:p w:rsidR="00E179D2" w:rsidRDefault="00E179D2" w:rsidP="00E54C16">
      <w:pPr>
        <w:pStyle w:val="ListParagraph"/>
        <w:numPr>
          <w:ilvl w:val="0"/>
          <w:numId w:val="3"/>
        </w:numPr>
      </w:pPr>
      <w:r>
        <w:t>Reconciled “Suspension of Probationary Period” with new Board Policy 405.1 requirements</w:t>
      </w:r>
      <w:r w:rsidR="00217E53">
        <w:t xml:space="preserve"> (p. 25-27)</w:t>
      </w:r>
    </w:p>
    <w:p w:rsidR="00217E53" w:rsidRDefault="00217E53" w:rsidP="00E54C16">
      <w:pPr>
        <w:pStyle w:val="ListParagraph"/>
        <w:numPr>
          <w:ilvl w:val="0"/>
          <w:numId w:val="3"/>
        </w:numPr>
      </w:pPr>
      <w:r>
        <w:t>Combined, condensed, revised (throughout)</w:t>
      </w:r>
    </w:p>
    <w:p w:rsidR="009C21CB" w:rsidRDefault="00710864" w:rsidP="00710864">
      <w:pPr>
        <w:pStyle w:val="ListParagraph"/>
        <w:numPr>
          <w:ilvl w:val="0"/>
          <w:numId w:val="1"/>
        </w:numPr>
      </w:pPr>
      <w:r>
        <w:t>On-going for 1405.11</w:t>
      </w:r>
    </w:p>
    <w:p w:rsidR="009C21CB" w:rsidRDefault="00710864" w:rsidP="00407090">
      <w:pPr>
        <w:pStyle w:val="ListParagraph"/>
        <w:numPr>
          <w:ilvl w:val="0"/>
          <w:numId w:val="3"/>
        </w:numPr>
      </w:pPr>
      <w:r>
        <w:t>Clean-up of text and formatting</w:t>
      </w:r>
    </w:p>
    <w:p w:rsidR="009216D0" w:rsidRDefault="009216D0" w:rsidP="00407090">
      <w:pPr>
        <w:pStyle w:val="ListParagraph"/>
        <w:numPr>
          <w:ilvl w:val="0"/>
          <w:numId w:val="3"/>
        </w:numPr>
      </w:pPr>
      <w:r>
        <w:t>Incorporation of non-tenure track policy components</w:t>
      </w:r>
    </w:p>
    <w:p w:rsidR="009F77C5" w:rsidRDefault="009F77C5" w:rsidP="009F77C5"/>
    <w:p w:rsidR="006309DA" w:rsidRDefault="006309DA" w:rsidP="009F77C5">
      <w:r>
        <w:t>University Committee on Appointment, Promotion and Tenure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6"/>
        <w:gridCol w:w="36"/>
        <w:gridCol w:w="36"/>
        <w:gridCol w:w="36"/>
      </w:tblGrid>
      <w:tr w:rsidR="006309DA" w:rsidRPr="006309DA" w:rsidTr="006309DA">
        <w:tc>
          <w:tcPr>
            <w:tcW w:w="0" w:type="auto"/>
            <w:shd w:val="clear" w:color="auto" w:fill="FFFFFF"/>
            <w:vAlign w:val="center"/>
            <w:hideMark/>
          </w:tcPr>
          <w:p w:rsidR="006309DA" w:rsidRPr="006309DA" w:rsidRDefault="006309DA" w:rsidP="006309DA">
            <w:r w:rsidRPr="006309DA">
              <w:t>Lisa Corrigan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</w:tr>
      <w:tr w:rsidR="006309DA" w:rsidRPr="006309DA" w:rsidTr="006309DA">
        <w:tc>
          <w:tcPr>
            <w:tcW w:w="0" w:type="auto"/>
            <w:shd w:val="clear" w:color="auto" w:fill="FFFFFF"/>
            <w:vAlign w:val="center"/>
            <w:hideMark/>
          </w:tcPr>
          <w:p w:rsidR="006309DA" w:rsidRPr="006309DA" w:rsidRDefault="006309DA" w:rsidP="006309DA">
            <w:r w:rsidRPr="006309DA">
              <w:t>Tom Jensen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</w:tr>
      <w:tr w:rsidR="006309DA" w:rsidRPr="006309DA" w:rsidTr="006309DA">
        <w:tc>
          <w:tcPr>
            <w:tcW w:w="0" w:type="auto"/>
            <w:shd w:val="clear" w:color="auto" w:fill="FFFFFF"/>
            <w:vAlign w:val="center"/>
            <w:hideMark/>
          </w:tcPr>
          <w:p w:rsidR="006309DA" w:rsidRPr="006309DA" w:rsidRDefault="006309DA" w:rsidP="006309DA">
            <w:r w:rsidRPr="006309DA">
              <w:t>Luti Salisbury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</w:tr>
      <w:tr w:rsidR="006309DA" w:rsidRPr="006309DA" w:rsidTr="006309DA">
        <w:tc>
          <w:tcPr>
            <w:tcW w:w="0" w:type="auto"/>
            <w:shd w:val="clear" w:color="auto" w:fill="FFFFFF"/>
            <w:vAlign w:val="center"/>
            <w:hideMark/>
          </w:tcPr>
          <w:p w:rsidR="006309DA" w:rsidRPr="006309DA" w:rsidRDefault="006309DA" w:rsidP="006309DA">
            <w:r w:rsidRPr="006309DA">
              <w:t>Marcia Imbeau</w:t>
            </w:r>
            <w:r>
              <w:t>*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</w:tr>
      <w:tr w:rsidR="006309DA" w:rsidRPr="006309DA" w:rsidTr="006309DA">
        <w:tc>
          <w:tcPr>
            <w:tcW w:w="0" w:type="auto"/>
            <w:shd w:val="clear" w:color="auto" w:fill="FFFFFF"/>
            <w:vAlign w:val="center"/>
            <w:hideMark/>
          </w:tcPr>
          <w:p w:rsidR="006309DA" w:rsidRPr="006309DA" w:rsidRDefault="006309DA" w:rsidP="006309DA">
            <w:r w:rsidRPr="006309DA">
              <w:t>John Delery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</w:tr>
      <w:tr w:rsidR="006309DA" w:rsidRPr="006309DA" w:rsidTr="006309DA">
        <w:tc>
          <w:tcPr>
            <w:tcW w:w="0" w:type="auto"/>
            <w:shd w:val="clear" w:color="auto" w:fill="FFFFFF"/>
            <w:vAlign w:val="center"/>
            <w:hideMark/>
          </w:tcPr>
          <w:p w:rsidR="006309DA" w:rsidRPr="006309DA" w:rsidRDefault="006309DA" w:rsidP="006309DA">
            <w:r w:rsidRPr="006309DA">
              <w:t>Kevin Brady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</w:tr>
      <w:tr w:rsidR="006309DA" w:rsidRPr="006309DA" w:rsidTr="006309DA">
        <w:tc>
          <w:tcPr>
            <w:tcW w:w="0" w:type="auto"/>
            <w:shd w:val="clear" w:color="auto" w:fill="FFFFFF"/>
            <w:vAlign w:val="center"/>
            <w:hideMark/>
          </w:tcPr>
          <w:p w:rsidR="006309DA" w:rsidRPr="006309DA" w:rsidRDefault="006309DA" w:rsidP="006309DA">
            <w:r w:rsidRPr="006309DA">
              <w:t>Song Yang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</w:tr>
      <w:tr w:rsidR="006309DA" w:rsidRPr="006309DA" w:rsidTr="006309DA">
        <w:tc>
          <w:tcPr>
            <w:tcW w:w="0" w:type="auto"/>
            <w:shd w:val="clear" w:color="auto" w:fill="FFFFFF"/>
            <w:vAlign w:val="center"/>
            <w:hideMark/>
          </w:tcPr>
          <w:p w:rsidR="006309DA" w:rsidRPr="006309DA" w:rsidRDefault="006309DA" w:rsidP="006309DA">
            <w:r>
              <w:t>Tom Smith</w:t>
            </w:r>
            <w:r w:rsidRPr="006309DA"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</w:tr>
      <w:tr w:rsidR="006309DA" w:rsidRPr="006309DA" w:rsidTr="006309DA">
        <w:tc>
          <w:tcPr>
            <w:tcW w:w="0" w:type="auto"/>
            <w:shd w:val="clear" w:color="auto" w:fill="FFFFFF"/>
            <w:vAlign w:val="center"/>
            <w:hideMark/>
          </w:tcPr>
          <w:p w:rsidR="006309DA" w:rsidRPr="006309DA" w:rsidRDefault="006309DA" w:rsidP="006309DA">
            <w:r w:rsidRPr="006309DA">
              <w:t>Kathleen Collins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</w:tr>
      <w:tr w:rsidR="006309DA" w:rsidRPr="006309DA" w:rsidTr="006309DA">
        <w:tc>
          <w:tcPr>
            <w:tcW w:w="0" w:type="auto"/>
            <w:shd w:val="clear" w:color="auto" w:fill="FFFFFF"/>
            <w:vAlign w:val="center"/>
            <w:hideMark/>
          </w:tcPr>
          <w:p w:rsidR="006309DA" w:rsidRPr="006309DA" w:rsidRDefault="006309DA" w:rsidP="006309DA">
            <w:r w:rsidRPr="006309DA">
              <w:t>Denise Beike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</w:tr>
      <w:tr w:rsidR="006309DA" w:rsidRPr="006309DA" w:rsidTr="006309DA">
        <w:tc>
          <w:tcPr>
            <w:tcW w:w="0" w:type="auto"/>
            <w:shd w:val="clear" w:color="auto" w:fill="FFFFFF"/>
            <w:vAlign w:val="center"/>
            <w:hideMark/>
          </w:tcPr>
          <w:p w:rsidR="006309DA" w:rsidRPr="006309DA" w:rsidRDefault="006309DA" w:rsidP="006309DA">
            <w:r w:rsidRPr="006309DA">
              <w:t>Anna Zajicek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  <w:tc>
          <w:tcPr>
            <w:tcW w:w="0" w:type="auto"/>
            <w:shd w:val="clear" w:color="auto" w:fill="FFFFFF"/>
            <w:vAlign w:val="center"/>
          </w:tcPr>
          <w:p w:rsidR="006309DA" w:rsidRPr="006309DA" w:rsidRDefault="006309DA" w:rsidP="006309DA"/>
        </w:tc>
      </w:tr>
    </w:tbl>
    <w:p w:rsidR="006309DA" w:rsidRDefault="006309DA" w:rsidP="006309DA">
      <w:r w:rsidRPr="006309DA">
        <w:t>Donald Johnson**</w:t>
      </w:r>
    </w:p>
    <w:p w:rsidR="006309DA" w:rsidRDefault="006309DA" w:rsidP="006309DA"/>
    <w:p w:rsidR="006309DA" w:rsidRDefault="006309DA" w:rsidP="006309DA">
      <w:r>
        <w:t>*Vice Chair</w:t>
      </w:r>
    </w:p>
    <w:p w:rsidR="006309DA" w:rsidRPr="006309DA" w:rsidRDefault="006309DA" w:rsidP="006309DA">
      <w:r>
        <w:t>**Chair</w:t>
      </w:r>
      <w:r w:rsidRPr="006309DA">
        <w:tab/>
      </w:r>
      <w:r w:rsidRPr="006309DA">
        <w:tab/>
      </w:r>
      <w:r w:rsidRPr="006309DA">
        <w:tab/>
      </w:r>
    </w:p>
    <w:sectPr w:rsidR="006309DA" w:rsidRPr="006309DA" w:rsidSect="00AE3326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62B2"/>
    <w:multiLevelType w:val="hybridMultilevel"/>
    <w:tmpl w:val="BF9A08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077C2"/>
    <w:multiLevelType w:val="hybridMultilevel"/>
    <w:tmpl w:val="5CE65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6D88"/>
    <w:multiLevelType w:val="hybridMultilevel"/>
    <w:tmpl w:val="6EAC294E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71267F70"/>
    <w:multiLevelType w:val="hybridMultilevel"/>
    <w:tmpl w:val="E6446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D4"/>
    <w:rsid w:val="00042F68"/>
    <w:rsid w:val="00044ED5"/>
    <w:rsid w:val="0019554F"/>
    <w:rsid w:val="00217E53"/>
    <w:rsid w:val="00263CA7"/>
    <w:rsid w:val="003F2DCD"/>
    <w:rsid w:val="004869D4"/>
    <w:rsid w:val="004B3ABE"/>
    <w:rsid w:val="00590EC2"/>
    <w:rsid w:val="005E65A7"/>
    <w:rsid w:val="006309DA"/>
    <w:rsid w:val="00710864"/>
    <w:rsid w:val="00811240"/>
    <w:rsid w:val="00841C46"/>
    <w:rsid w:val="009058EA"/>
    <w:rsid w:val="009216D0"/>
    <w:rsid w:val="009C21CB"/>
    <w:rsid w:val="009F77C5"/>
    <w:rsid w:val="00AA25C8"/>
    <w:rsid w:val="00AC5BCD"/>
    <w:rsid w:val="00AE3326"/>
    <w:rsid w:val="00C36EF1"/>
    <w:rsid w:val="00C523F2"/>
    <w:rsid w:val="00D4073B"/>
    <w:rsid w:val="00DE541B"/>
    <w:rsid w:val="00E179D2"/>
    <w:rsid w:val="00E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B2E4"/>
  <w15:chartTrackingRefBased/>
  <w15:docId w15:val="{BE857920-BCBB-4132-9386-F63130C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0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M. Johnson</dc:creator>
  <cp:keywords/>
  <dc:description/>
  <cp:lastModifiedBy>Donald M. Johnson</cp:lastModifiedBy>
  <cp:revision>2</cp:revision>
  <cp:lastPrinted>2019-01-09T19:41:00Z</cp:lastPrinted>
  <dcterms:created xsi:type="dcterms:W3CDTF">2019-01-14T23:05:00Z</dcterms:created>
  <dcterms:modified xsi:type="dcterms:W3CDTF">2019-01-14T23:05:00Z</dcterms:modified>
</cp:coreProperties>
</file>