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FABED" w14:textId="7D1C73EA" w:rsidR="008E15AB" w:rsidRDefault="00D71F49">
      <w:r>
        <w:t>Fayetteville Policies and Procedures</w:t>
      </w:r>
      <w:r w:rsidR="00DA66A6">
        <w:t xml:space="preserve"> 519.0</w:t>
      </w:r>
    </w:p>
    <w:p w14:paraId="5E9D9921" w14:textId="6B0ACD30" w:rsidR="00D71F49" w:rsidRPr="00BD6870" w:rsidRDefault="00D71F49">
      <w:pPr>
        <w:rPr>
          <w:b/>
          <w:bCs/>
        </w:rPr>
      </w:pPr>
      <w:r w:rsidRPr="00BD6870">
        <w:rPr>
          <w:b/>
          <w:bCs/>
        </w:rPr>
        <w:t xml:space="preserve">Immunization </w:t>
      </w:r>
      <w:r w:rsidR="00614517" w:rsidRPr="00BD6870">
        <w:rPr>
          <w:b/>
          <w:bCs/>
        </w:rPr>
        <w:t xml:space="preserve">for </w:t>
      </w:r>
      <w:r w:rsidR="009E26A1">
        <w:rPr>
          <w:b/>
          <w:bCs/>
        </w:rPr>
        <w:t>Students and Employees</w:t>
      </w:r>
    </w:p>
    <w:p w14:paraId="3E1B71F4" w14:textId="14F79B08" w:rsidR="00D71F49" w:rsidRPr="00BD6870" w:rsidRDefault="00D71F49" w:rsidP="00D71F49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 </w:t>
      </w:r>
      <w:r w:rsidRPr="00BD6870">
        <w:rPr>
          <w:b/>
          <w:bCs/>
        </w:rPr>
        <w:t>Purpose</w:t>
      </w:r>
    </w:p>
    <w:p w14:paraId="7A033EF8" w14:textId="7F6ABBE0" w:rsidR="00D71F49" w:rsidRDefault="00D71F49" w:rsidP="00D71F49">
      <w:pPr>
        <w:pStyle w:val="ListParagraph"/>
        <w:ind w:left="1080"/>
      </w:pPr>
      <w:r>
        <w:t xml:space="preserve">The purpose of this policy is to protect the public health of the University of Arkansas campus by requiring all </w:t>
      </w:r>
      <w:r w:rsidR="00D644D2">
        <w:t xml:space="preserve">incoming </w:t>
      </w:r>
      <w:r>
        <w:t>students</w:t>
      </w:r>
      <w:r w:rsidR="00DA66A6">
        <w:t>, as well as</w:t>
      </w:r>
      <w:r w:rsidR="00FB43C0">
        <w:t xml:space="preserve"> all employees</w:t>
      </w:r>
      <w:r>
        <w:t xml:space="preserve">, born after 1956, to show proof of 2 MMR </w:t>
      </w:r>
      <w:r w:rsidRPr="009E26A1">
        <w:t>(</w:t>
      </w:r>
      <w:r w:rsidR="009E26A1" w:rsidRPr="009E26A1">
        <w:t>Measles, Mumps and Rubella</w:t>
      </w:r>
      <w:r w:rsidRPr="009E26A1">
        <w:t>)</w:t>
      </w:r>
      <w:r w:rsidRPr="009E26A1">
        <w:rPr>
          <w:b/>
          <w:bCs/>
        </w:rPr>
        <w:t xml:space="preserve"> </w:t>
      </w:r>
      <w:r>
        <w:t>vaccines, documentation of a history of disease</w:t>
      </w:r>
      <w:r w:rsidR="00593780">
        <w:t>,</w:t>
      </w:r>
      <w:r>
        <w:t xml:space="preserve"> or proof of positive serology</w:t>
      </w:r>
      <w:r w:rsidR="00D644D2">
        <w:t>, subject to applicable exemptions</w:t>
      </w:r>
      <w:r>
        <w:t>.</w:t>
      </w:r>
    </w:p>
    <w:p w14:paraId="1CA5C83A" w14:textId="77777777" w:rsidR="00D644D2" w:rsidRDefault="00D644D2" w:rsidP="00D71F49">
      <w:pPr>
        <w:pStyle w:val="ListParagraph"/>
        <w:ind w:left="1080"/>
      </w:pPr>
    </w:p>
    <w:p w14:paraId="476DB2F7" w14:textId="1A98CD30" w:rsidR="00D71F49" w:rsidRPr="00BD6870" w:rsidRDefault="00D71F49" w:rsidP="00D71F49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 </w:t>
      </w:r>
      <w:r w:rsidRPr="00BD6870">
        <w:rPr>
          <w:b/>
          <w:bCs/>
        </w:rPr>
        <w:t>Background</w:t>
      </w:r>
      <w:r w:rsidR="00DA66A6" w:rsidRPr="00BD6870">
        <w:rPr>
          <w:b/>
          <w:bCs/>
        </w:rPr>
        <w:t xml:space="preserve"> </w:t>
      </w:r>
    </w:p>
    <w:p w14:paraId="03738403" w14:textId="5974571E" w:rsidR="00D71F49" w:rsidRDefault="00D71F49" w:rsidP="00D71F49">
      <w:pPr>
        <w:pStyle w:val="ListParagraph"/>
        <w:ind w:left="1080"/>
      </w:pPr>
      <w:r>
        <w:t>The University implements and complies with the Arkansas State Board of Health Rules and Regulations Pertaining to Immunization Requirements, Promulgated Under the Authority of Ark.</w:t>
      </w:r>
      <w:r w:rsidR="006C49A1">
        <w:t xml:space="preserve"> </w:t>
      </w:r>
      <w:r>
        <w:t>Code Ann</w:t>
      </w:r>
      <w:r w:rsidR="00614517">
        <w:t>. §</w:t>
      </w:r>
      <w:r w:rsidR="00F24E2D">
        <w:t>§ 20</w:t>
      </w:r>
      <w:r>
        <w:t>-7-109, 6-18-702, 6-60-501 -</w:t>
      </w:r>
      <w:r w:rsidR="00614517">
        <w:t xml:space="preserve"> </w:t>
      </w:r>
      <w:r>
        <w:t>504, and 20-78-206. Effective September</w:t>
      </w:r>
      <w:r w:rsidR="00852BCB">
        <w:t xml:space="preserve"> </w:t>
      </w:r>
      <w:r>
        <w:t xml:space="preserve">1, 2014.  </w:t>
      </w:r>
      <w:hyperlink r:id="rId8" w:history="1">
        <w:r w:rsidR="00D644D2" w:rsidRPr="009C463A">
          <w:rPr>
            <w:rStyle w:val="Hyperlink"/>
          </w:rPr>
          <w:t>https://www.healthy.arkansas.gov/images/uploads/rules/ImmunizationRequirements.pdf</w:t>
        </w:r>
      </w:hyperlink>
    </w:p>
    <w:p w14:paraId="462006D1" w14:textId="6BA095C0" w:rsidR="00593780" w:rsidRDefault="00D644D2" w:rsidP="00501A0D">
      <w:pPr>
        <w:pStyle w:val="ListParagraph"/>
        <w:ind w:left="1080"/>
      </w:pPr>
      <w:r>
        <w:t xml:space="preserve">(“State Immunization Regulations”). </w:t>
      </w:r>
      <w:r w:rsidR="00D71F49">
        <w:t xml:space="preserve">Specifically, the University </w:t>
      </w:r>
      <w:r>
        <w:t xml:space="preserve">currently </w:t>
      </w:r>
      <w:r w:rsidR="00D71F49">
        <w:t>implements and complies with Section III.</w:t>
      </w:r>
      <w:r w:rsidR="00D66392">
        <w:t>C.</w:t>
      </w:r>
      <w:r>
        <w:t>,</w:t>
      </w:r>
      <w:r w:rsidR="00D71F49">
        <w:t xml:space="preserve"> Immunization Requirements</w:t>
      </w:r>
      <w:r>
        <w:t>,</w:t>
      </w:r>
      <w:r w:rsidR="00D71F49">
        <w:t xml:space="preserve"> which require</w:t>
      </w:r>
      <w:r>
        <w:t>s</w:t>
      </w:r>
      <w:r w:rsidR="00D71F49">
        <w:t xml:space="preserve"> all entering freshmen and international students to show proof of two MMR immunizations</w:t>
      </w:r>
      <w:r>
        <w:t>,</w:t>
      </w:r>
      <w:r w:rsidR="00D71F49">
        <w:t xml:space="preserve"> while requiring proof of only 1 MMR for all other entering students. </w:t>
      </w:r>
    </w:p>
    <w:p w14:paraId="474AFDD4" w14:textId="2E427219" w:rsidR="0078445A" w:rsidRDefault="00D71F49" w:rsidP="00501A0D">
      <w:pPr>
        <w:pStyle w:val="ListParagraph"/>
        <w:ind w:left="1080"/>
      </w:pPr>
      <w:r>
        <w:t xml:space="preserve"> </w:t>
      </w:r>
    </w:p>
    <w:p w14:paraId="2AB0E993" w14:textId="1A463EC3" w:rsidR="0078445A" w:rsidRDefault="0078445A" w:rsidP="0078445A">
      <w:pPr>
        <w:pStyle w:val="ListParagraph"/>
        <w:ind w:left="1080"/>
      </w:pPr>
      <w:r>
        <w:t xml:space="preserve">The Arkansas State Department of Health has informed the University that it supports more stringent immunization requirements </w:t>
      </w:r>
      <w:r w:rsidR="005E304A">
        <w:t xml:space="preserve">that will protect the public health of the </w:t>
      </w:r>
      <w:r w:rsidR="00614517">
        <w:t>UA</w:t>
      </w:r>
      <w:r w:rsidR="005E304A">
        <w:t xml:space="preserve"> campus and community.</w:t>
      </w:r>
    </w:p>
    <w:p w14:paraId="1C084AB7" w14:textId="77777777" w:rsidR="0078445A" w:rsidRDefault="0078445A" w:rsidP="0078445A">
      <w:pPr>
        <w:pStyle w:val="ListParagraph"/>
        <w:ind w:left="1080"/>
      </w:pPr>
    </w:p>
    <w:p w14:paraId="322203DC" w14:textId="73AD4E78" w:rsidR="0078445A" w:rsidRPr="00BD6870" w:rsidRDefault="0078445A" w:rsidP="0078445A">
      <w:pPr>
        <w:pStyle w:val="ListParagraph"/>
        <w:numPr>
          <w:ilvl w:val="0"/>
          <w:numId w:val="1"/>
        </w:numPr>
        <w:rPr>
          <w:b/>
          <w:bCs/>
        </w:rPr>
      </w:pPr>
      <w:r w:rsidRPr="00BD6870">
        <w:rPr>
          <w:b/>
          <w:bCs/>
        </w:rPr>
        <w:t>Policy</w:t>
      </w:r>
      <w:r w:rsidR="00DA66A6" w:rsidRPr="00BD6870">
        <w:rPr>
          <w:b/>
          <w:bCs/>
        </w:rPr>
        <w:t xml:space="preserve"> – All Students</w:t>
      </w:r>
    </w:p>
    <w:p w14:paraId="430EE691" w14:textId="7472FAA0" w:rsidR="00593780" w:rsidRDefault="002D7E93" w:rsidP="00593780">
      <w:pPr>
        <w:pStyle w:val="ListParagraph"/>
        <w:ind w:left="1080"/>
      </w:pPr>
      <w:r>
        <w:t xml:space="preserve">The University </w:t>
      </w:r>
      <w:r w:rsidR="00D644D2">
        <w:t xml:space="preserve">supplements </w:t>
      </w:r>
      <w:r>
        <w:t>the Arkansas State Board of Health Rules and Regulations Pertaining to Immunization Requirement Section III.C. dated 2014 as follows:</w:t>
      </w:r>
    </w:p>
    <w:p w14:paraId="7C1E3775" w14:textId="77777777" w:rsidR="00593780" w:rsidRDefault="00593780" w:rsidP="00593780">
      <w:pPr>
        <w:pStyle w:val="ListParagraph"/>
        <w:ind w:left="1080"/>
      </w:pPr>
    </w:p>
    <w:p w14:paraId="305268E8" w14:textId="2AFBCA4A" w:rsidR="002D7E93" w:rsidRDefault="002D7E93" w:rsidP="002D7E93">
      <w:pPr>
        <w:pStyle w:val="ListParagraph"/>
        <w:numPr>
          <w:ilvl w:val="0"/>
          <w:numId w:val="2"/>
        </w:numPr>
      </w:pPr>
      <w:r>
        <w:t xml:space="preserve"> </w:t>
      </w:r>
      <w:r w:rsidR="005E304A">
        <w:t>Effective January 2020, t</w:t>
      </w:r>
      <w:r>
        <w:t>o attend the University of Arkansas</w:t>
      </w:r>
      <w:r w:rsidR="00593780">
        <w:t>,</w:t>
      </w:r>
      <w:r>
        <w:t xml:space="preserve"> Fayetteville, all </w:t>
      </w:r>
      <w:r w:rsidR="00D644D2">
        <w:t xml:space="preserve">incoming </w:t>
      </w:r>
      <w:r>
        <w:t xml:space="preserve">students </w:t>
      </w:r>
      <w:r w:rsidR="00D644D2">
        <w:t xml:space="preserve">(including, but not limited to, graduate and transfer students) </w:t>
      </w:r>
      <w:r>
        <w:t xml:space="preserve">must show proof of </w:t>
      </w:r>
      <w:r w:rsidR="005E304A">
        <w:t>immunization, immunity</w:t>
      </w:r>
      <w:r>
        <w:t>, a medi</w:t>
      </w:r>
      <w:r w:rsidR="005E304A">
        <w:t>c</w:t>
      </w:r>
      <w:r>
        <w:t xml:space="preserve">al or </w:t>
      </w:r>
      <w:r w:rsidR="002C6FC0">
        <w:t>other lawful</w:t>
      </w:r>
      <w:r>
        <w:t xml:space="preserve"> exemption</w:t>
      </w:r>
      <w:r w:rsidR="002C6FC0">
        <w:t>,</w:t>
      </w:r>
      <w:r>
        <w:t xml:space="preserve"> or birth before 1957 prior to enrollment </w:t>
      </w:r>
      <w:r w:rsidR="008C49A3">
        <w:t>,</w:t>
      </w:r>
      <w:r>
        <w:t xml:space="preserve"> as </w:t>
      </w:r>
      <w:r w:rsidR="008C49A3">
        <w:t>follows</w:t>
      </w:r>
      <w:r>
        <w:t>:</w:t>
      </w:r>
    </w:p>
    <w:p w14:paraId="0E948A3D" w14:textId="77777777" w:rsidR="008C49A3" w:rsidRDefault="008C49A3" w:rsidP="009C463A">
      <w:pPr>
        <w:pStyle w:val="ListParagraph"/>
        <w:ind w:left="1440"/>
      </w:pPr>
    </w:p>
    <w:p w14:paraId="148A57DD" w14:textId="4CAA58B9" w:rsidR="002D7E93" w:rsidRDefault="002D7E93" w:rsidP="009C463A">
      <w:pPr>
        <w:pStyle w:val="ListParagraph"/>
        <w:ind w:left="1800"/>
      </w:pPr>
      <w:r>
        <w:t xml:space="preserve"> For all incoming students, </w:t>
      </w:r>
      <w:r w:rsidR="008C49A3">
        <w:t xml:space="preserve">proof of </w:t>
      </w:r>
      <w:r>
        <w:t>two doses of MMR (measles, mumps and rubella) vaccine (with dose 1 on or after</w:t>
      </w:r>
      <w:r w:rsidR="008C49A3">
        <w:t xml:space="preserve"> the</w:t>
      </w:r>
      <w:r>
        <w:t xml:space="preserve"> 1</w:t>
      </w:r>
      <w:r w:rsidRPr="002D7E93">
        <w:rPr>
          <w:vertAlign w:val="superscript"/>
        </w:rPr>
        <w:t>st</w:t>
      </w:r>
      <w:r>
        <w:t xml:space="preserve"> birthday and dose 2 at least 28 days after</w:t>
      </w:r>
      <w:r w:rsidR="008C49A3">
        <w:t xml:space="preserve"> the first</w:t>
      </w:r>
      <w:r>
        <w:t xml:space="preserve"> dose</w:t>
      </w:r>
      <w:r w:rsidR="005E304A">
        <w:t>)</w:t>
      </w:r>
    </w:p>
    <w:p w14:paraId="48769ECC" w14:textId="77777777" w:rsidR="00593780" w:rsidRDefault="00593780" w:rsidP="00593780">
      <w:pPr>
        <w:pStyle w:val="ListParagraph"/>
        <w:ind w:left="1800"/>
      </w:pPr>
    </w:p>
    <w:p w14:paraId="63EC9A1D" w14:textId="35576FBC" w:rsidR="005E304A" w:rsidRDefault="005E304A" w:rsidP="005E304A">
      <w:pPr>
        <w:pStyle w:val="ListParagraph"/>
        <w:numPr>
          <w:ilvl w:val="0"/>
          <w:numId w:val="2"/>
        </w:numPr>
      </w:pPr>
      <w:r>
        <w:t xml:space="preserve"> With the exception of the </w:t>
      </w:r>
      <w:r w:rsidR="00D644D2">
        <w:t>enhanced requirements supplementing</w:t>
      </w:r>
      <w:r>
        <w:t xml:space="preserve"> Section III.C</w:t>
      </w:r>
      <w:r w:rsidR="00D644D2">
        <w:t xml:space="preserve"> of the Regulations</w:t>
      </w:r>
      <w:r>
        <w:t xml:space="preserve">, the University of Arkansas will comply with all </w:t>
      </w:r>
      <w:r w:rsidR="008C49A3">
        <w:t xml:space="preserve">provisions </w:t>
      </w:r>
      <w:r>
        <w:t>of the Arkansas State Board of Health Rules and Regulations Pertaining to Immunization Requirement</w:t>
      </w:r>
      <w:r w:rsidR="008C49A3">
        <w:t>s</w:t>
      </w:r>
      <w:r>
        <w:t xml:space="preserve"> dated 2014.</w:t>
      </w:r>
    </w:p>
    <w:p w14:paraId="575A81A2" w14:textId="34C178F4" w:rsidR="00172EE8" w:rsidRDefault="00172EE8" w:rsidP="005E304A"/>
    <w:p w14:paraId="7D49F810" w14:textId="77777777" w:rsidR="008C02B9" w:rsidRDefault="008C02B9" w:rsidP="005E304A"/>
    <w:p w14:paraId="236501CF" w14:textId="46C272B8" w:rsidR="00172EE8" w:rsidRPr="00F24E2D" w:rsidRDefault="00DA66A6" w:rsidP="00172EE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 xml:space="preserve">Policy </w:t>
      </w:r>
      <w:r w:rsidR="008C02B9">
        <w:rPr>
          <w:b/>
          <w:bCs/>
        </w:rPr>
        <w:t>–</w:t>
      </w:r>
      <w:r>
        <w:rPr>
          <w:b/>
          <w:bCs/>
        </w:rPr>
        <w:t xml:space="preserve"> </w:t>
      </w:r>
      <w:r w:rsidR="008C02B9">
        <w:rPr>
          <w:b/>
          <w:bCs/>
        </w:rPr>
        <w:t xml:space="preserve">All </w:t>
      </w:r>
      <w:r>
        <w:rPr>
          <w:b/>
          <w:bCs/>
        </w:rPr>
        <w:t>Employees</w:t>
      </w:r>
    </w:p>
    <w:p w14:paraId="69B36A1D" w14:textId="6BE3539E" w:rsidR="00172EE8" w:rsidRDefault="00631139" w:rsidP="00172EE8">
      <w:pPr>
        <w:pStyle w:val="ListParagraph"/>
        <w:numPr>
          <w:ilvl w:val="0"/>
          <w:numId w:val="5"/>
        </w:numPr>
      </w:pPr>
      <w:r>
        <w:t xml:space="preserve">Effective September 1, 2020, as a condition of employment, </w:t>
      </w:r>
      <w:r w:rsidR="00DA66A6">
        <w:t>the University requires that</w:t>
      </w:r>
      <w:r w:rsidR="00172EE8">
        <w:t xml:space="preserve"> all </w:t>
      </w:r>
      <w:r w:rsidR="006C49A1">
        <w:t>incoming</w:t>
      </w:r>
      <w:r w:rsidR="00172EE8">
        <w:t xml:space="preserve"> employees</w:t>
      </w:r>
      <w:r w:rsidR="00BD6870">
        <w:t>,</w:t>
      </w:r>
      <w:r w:rsidR="00172EE8">
        <w:t xml:space="preserve"> </w:t>
      </w:r>
      <w:r w:rsidR="00BD6870">
        <w:t xml:space="preserve">within 90 days after beginning employment at the University, </w:t>
      </w:r>
      <w:r>
        <w:t xml:space="preserve">show proof of immunization, </w:t>
      </w:r>
      <w:r w:rsidR="00BD6870">
        <w:t xml:space="preserve">proof of </w:t>
      </w:r>
      <w:r>
        <w:t xml:space="preserve">immunity, a medical or other lawful exemption, or birth before 1957. </w:t>
      </w:r>
    </w:p>
    <w:p w14:paraId="23D8A723" w14:textId="77777777" w:rsidR="00BD6870" w:rsidRDefault="00BD6870" w:rsidP="00BD6870">
      <w:pPr>
        <w:pStyle w:val="ListParagraph"/>
        <w:ind w:left="1080"/>
      </w:pPr>
    </w:p>
    <w:p w14:paraId="15DE3E6F" w14:textId="218B1F4D" w:rsidR="00BD6870" w:rsidRPr="00B823E8" w:rsidRDefault="00347C67" w:rsidP="00BD6870">
      <w:pPr>
        <w:pStyle w:val="ListParagraph"/>
        <w:numPr>
          <w:ilvl w:val="0"/>
          <w:numId w:val="5"/>
        </w:numPr>
      </w:pPr>
      <w:r w:rsidRPr="00B823E8">
        <w:t xml:space="preserve"> </w:t>
      </w:r>
      <w:r w:rsidR="00631139" w:rsidRPr="00B823E8">
        <w:t>Responsibility for compliance</w:t>
      </w:r>
      <w:r w:rsidR="00BD6870">
        <w:t xml:space="preserve"> monitoring</w:t>
      </w:r>
      <w:r w:rsidR="00631139" w:rsidRPr="00B823E8">
        <w:t>, immune status verification</w:t>
      </w:r>
      <w:r w:rsidR="00BD6870">
        <w:t>,</w:t>
      </w:r>
      <w:r w:rsidR="00631139" w:rsidRPr="00B823E8">
        <w:t xml:space="preserve"> </w:t>
      </w:r>
      <w:r w:rsidR="0042260C">
        <w:t xml:space="preserve">exemption processing, </w:t>
      </w:r>
      <w:r w:rsidR="00631139" w:rsidRPr="00B823E8">
        <w:t xml:space="preserve">and </w:t>
      </w:r>
      <w:r w:rsidR="00BD6870">
        <w:t xml:space="preserve">confidential </w:t>
      </w:r>
      <w:r w:rsidR="00631139">
        <w:t xml:space="preserve">records </w:t>
      </w:r>
      <w:r w:rsidR="00631139" w:rsidRPr="00B823E8">
        <w:t xml:space="preserve">storage </w:t>
      </w:r>
      <w:r w:rsidR="00BD6870">
        <w:t>shall</w:t>
      </w:r>
      <w:r w:rsidR="00631139" w:rsidRPr="00B823E8">
        <w:t xml:space="preserve"> be shared by Human Resources and the Pat Walker Health Center</w:t>
      </w:r>
      <w:r w:rsidR="00631139">
        <w:t>.</w:t>
      </w:r>
    </w:p>
    <w:p w14:paraId="3F805207" w14:textId="4C83986D" w:rsidR="00A9643E" w:rsidRDefault="00347C67" w:rsidP="00A9643E">
      <w:pPr>
        <w:pStyle w:val="ListParagraph"/>
        <w:numPr>
          <w:ilvl w:val="1"/>
          <w:numId w:val="5"/>
        </w:numPr>
      </w:pPr>
      <w:r w:rsidRPr="00B823E8">
        <w:t xml:space="preserve">For new employees </w:t>
      </w:r>
      <w:r w:rsidR="00631139">
        <w:t xml:space="preserve">who do not have documentation of the required immunizations or immunity, </w:t>
      </w:r>
      <w:r w:rsidRPr="00B823E8">
        <w:t xml:space="preserve">MMR vaccinations may be </w:t>
      </w:r>
      <w:r w:rsidR="005116A8">
        <w:t>obtained</w:t>
      </w:r>
      <w:r w:rsidR="005116A8" w:rsidRPr="00B823E8">
        <w:t xml:space="preserve"> </w:t>
      </w:r>
      <w:r w:rsidRPr="00B823E8">
        <w:t>at the Washington County Health Department</w:t>
      </w:r>
      <w:r w:rsidR="00B578B7">
        <w:t xml:space="preserve"> </w:t>
      </w:r>
      <w:r w:rsidR="00B578B7" w:rsidRPr="00564CF1">
        <w:t>Unit (WCHU)</w:t>
      </w:r>
      <w:r w:rsidRPr="00564CF1">
        <w:t xml:space="preserve">, </w:t>
      </w:r>
      <w:r w:rsidRPr="00B823E8">
        <w:t>their own medical provider</w:t>
      </w:r>
      <w:r w:rsidR="007A0A4B">
        <w:t>,</w:t>
      </w:r>
      <w:r w:rsidRPr="00B823E8">
        <w:t xml:space="preserve"> or the Pat Walker Health Center</w:t>
      </w:r>
      <w:r w:rsidR="00A9643E" w:rsidRPr="00B823E8">
        <w:t xml:space="preserve"> </w:t>
      </w:r>
      <w:r w:rsidR="00BD6870">
        <w:t xml:space="preserve">(PWHC) </w:t>
      </w:r>
      <w:r w:rsidR="00A9643E" w:rsidRPr="00B823E8">
        <w:t>Immunization Clinic</w:t>
      </w:r>
      <w:r w:rsidRPr="00B823E8">
        <w:t xml:space="preserve">.  </w:t>
      </w:r>
      <w:r w:rsidR="00BD6870">
        <w:t>WCHU and PWHC each</w:t>
      </w:r>
      <w:r w:rsidRPr="00B823E8">
        <w:t xml:space="preserve"> accept health insurance as a mode of payment</w:t>
      </w:r>
      <w:r w:rsidRPr="00564CF1">
        <w:t>.</w:t>
      </w:r>
      <w:r w:rsidR="00564CF1" w:rsidRPr="00564CF1">
        <w:t xml:space="preserve">  </w:t>
      </w:r>
      <w:r w:rsidR="00B578B7" w:rsidRPr="00564CF1">
        <w:t>Uninsured individuals can receive low cost vaccines at WCHU.</w:t>
      </w:r>
    </w:p>
    <w:p w14:paraId="617BD3E3" w14:textId="77777777" w:rsidR="00BD6870" w:rsidRPr="00564CF1" w:rsidRDefault="00BD6870" w:rsidP="00BD6870">
      <w:pPr>
        <w:pStyle w:val="ListParagraph"/>
        <w:ind w:left="1800"/>
      </w:pPr>
    </w:p>
    <w:p w14:paraId="676A4E9E" w14:textId="667C85D4" w:rsidR="00A9643E" w:rsidRDefault="005116A8" w:rsidP="00A9643E">
      <w:pPr>
        <w:pStyle w:val="ListParagraph"/>
        <w:numPr>
          <w:ilvl w:val="1"/>
          <w:numId w:val="5"/>
        </w:numPr>
      </w:pPr>
      <w:r>
        <w:t xml:space="preserve">Employees who fail to obtain the necessary proof of immunization or immunity, or demonstrate an exemption, within the first 90 days of employment, will be placed on </w:t>
      </w:r>
      <w:r w:rsidR="00C71414" w:rsidRPr="00B823E8">
        <w:t xml:space="preserve">administrative leave without pay </w:t>
      </w:r>
      <w:r>
        <w:t>until requirements have been met</w:t>
      </w:r>
      <w:r w:rsidR="00C71414" w:rsidRPr="00B823E8">
        <w:t xml:space="preserve">. </w:t>
      </w:r>
    </w:p>
    <w:p w14:paraId="3B22B25A" w14:textId="77777777" w:rsidR="00BD6870" w:rsidRDefault="00BD6870" w:rsidP="00BD6870">
      <w:pPr>
        <w:pStyle w:val="ListParagraph"/>
      </w:pPr>
    </w:p>
    <w:p w14:paraId="5226F21A" w14:textId="18EA785E" w:rsidR="00BD6870" w:rsidRDefault="00BD6870" w:rsidP="00A9643E">
      <w:pPr>
        <w:pStyle w:val="ListParagraph"/>
        <w:numPr>
          <w:ilvl w:val="1"/>
          <w:numId w:val="5"/>
        </w:numPr>
      </w:pPr>
      <w:r>
        <w:t xml:space="preserve">Employee exemption requests will be processed confidentially using standards and practices consistent with the Arkansas Department of Health. </w:t>
      </w:r>
    </w:p>
    <w:p w14:paraId="23E120B5" w14:textId="77777777" w:rsidR="00BD6870" w:rsidRDefault="00BD6870" w:rsidP="00BD6870">
      <w:pPr>
        <w:pStyle w:val="ListParagraph"/>
      </w:pPr>
    </w:p>
    <w:p w14:paraId="77D559F0" w14:textId="2B62A1FA" w:rsidR="00BE5443" w:rsidRDefault="00BD6870" w:rsidP="00BE5443">
      <w:pPr>
        <w:pStyle w:val="ListParagraph"/>
        <w:numPr>
          <w:ilvl w:val="0"/>
          <w:numId w:val="5"/>
        </w:numPr>
      </w:pPr>
      <w:r>
        <w:t xml:space="preserve">Temporary provision: All </w:t>
      </w:r>
      <w:r w:rsidR="0042260C">
        <w:t xml:space="preserve">existing University </w:t>
      </w:r>
      <w:r>
        <w:t xml:space="preserve">employees </w:t>
      </w:r>
      <w:r w:rsidR="0042260C">
        <w:t>as of September 1, 2020, who have not previously furnished proof of immunization, proof of immunity, a medical or other lawful exemption, or birth before 1957 shall be required to do so by November 30, 2020</w:t>
      </w:r>
      <w:r w:rsidR="00BE5443">
        <w:t>.</w:t>
      </w:r>
    </w:p>
    <w:p w14:paraId="01ECC785" w14:textId="77777777" w:rsidR="00BE5443" w:rsidRDefault="00BE5443" w:rsidP="00BE5443">
      <w:pPr>
        <w:pStyle w:val="ListParagraph"/>
        <w:ind w:left="1080"/>
      </w:pPr>
    </w:p>
    <w:p w14:paraId="4AB9A749" w14:textId="680C25B3" w:rsidR="00BE5443" w:rsidRPr="00BE5443" w:rsidRDefault="00BE5443" w:rsidP="00BE5443">
      <w:pPr>
        <w:pStyle w:val="ListParagraph"/>
        <w:numPr>
          <w:ilvl w:val="0"/>
          <w:numId w:val="1"/>
        </w:numPr>
        <w:rPr>
          <w:b/>
          <w:bCs/>
        </w:rPr>
      </w:pPr>
      <w:r w:rsidRPr="00BE5443">
        <w:rPr>
          <w:b/>
          <w:bCs/>
        </w:rPr>
        <w:t>Supplemental Immunization Requirements</w:t>
      </w:r>
    </w:p>
    <w:p w14:paraId="350F4175" w14:textId="7716E919" w:rsidR="00BE5443" w:rsidRDefault="00BE5443" w:rsidP="00BE5443">
      <w:pPr>
        <w:pStyle w:val="ListParagraph"/>
        <w:ind w:left="1080"/>
      </w:pPr>
      <w:r>
        <w:t xml:space="preserve">In order to foster a healthy educational and work environment, in consultation with the Arkansas Department of Health, the Chancellor may institute additional immunization requirements for students and/or employees as necessary based on public health considerations.   </w:t>
      </w:r>
    </w:p>
    <w:sectPr w:rsidR="00BE544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B9AAB" w14:textId="77777777" w:rsidR="00EF6FA4" w:rsidRDefault="00EF6FA4" w:rsidP="00D66392">
      <w:pPr>
        <w:spacing w:after="0" w:line="240" w:lineRule="auto"/>
      </w:pPr>
      <w:r>
        <w:separator/>
      </w:r>
    </w:p>
  </w:endnote>
  <w:endnote w:type="continuationSeparator" w:id="0">
    <w:p w14:paraId="00CB4FBE" w14:textId="77777777" w:rsidR="00EF6FA4" w:rsidRDefault="00EF6FA4" w:rsidP="00D6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36AC0" w14:textId="77777777" w:rsidR="00EF6FA4" w:rsidRDefault="00EF6FA4" w:rsidP="00D66392">
      <w:pPr>
        <w:spacing w:after="0" w:line="240" w:lineRule="auto"/>
      </w:pPr>
      <w:r>
        <w:separator/>
      </w:r>
    </w:p>
  </w:footnote>
  <w:footnote w:type="continuationSeparator" w:id="0">
    <w:p w14:paraId="4AA498E9" w14:textId="77777777" w:rsidR="00EF6FA4" w:rsidRDefault="00EF6FA4" w:rsidP="00D66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3869871"/>
      <w:docPartObj>
        <w:docPartGallery w:val="Watermarks"/>
        <w:docPartUnique/>
      </w:docPartObj>
    </w:sdtPr>
    <w:sdtEndPr/>
    <w:sdtContent>
      <w:p w14:paraId="033F9079" w14:textId="6926E256" w:rsidR="00DB464B" w:rsidRDefault="00EF6FA4">
        <w:pPr>
          <w:pStyle w:val="Header"/>
        </w:pPr>
        <w:r>
          <w:rPr>
            <w:noProof/>
          </w:rPr>
          <w:pict w14:anchorId="12E87E3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583E"/>
    <w:multiLevelType w:val="hybridMultilevel"/>
    <w:tmpl w:val="28F45F34"/>
    <w:lvl w:ilvl="0" w:tplc="EBB29AB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5B3E59"/>
    <w:multiLevelType w:val="hybridMultilevel"/>
    <w:tmpl w:val="8AC675DA"/>
    <w:lvl w:ilvl="0" w:tplc="94C03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FC5A79"/>
    <w:multiLevelType w:val="hybridMultilevel"/>
    <w:tmpl w:val="3F96E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30281"/>
    <w:multiLevelType w:val="hybridMultilevel"/>
    <w:tmpl w:val="BB703640"/>
    <w:lvl w:ilvl="0" w:tplc="78AE0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544A9"/>
    <w:multiLevelType w:val="hybridMultilevel"/>
    <w:tmpl w:val="BE3C89D8"/>
    <w:lvl w:ilvl="0" w:tplc="8B420C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49"/>
    <w:rsid w:val="0000595B"/>
    <w:rsid w:val="00172EE8"/>
    <w:rsid w:val="001F549D"/>
    <w:rsid w:val="002109B7"/>
    <w:rsid w:val="002C6FC0"/>
    <w:rsid w:val="002D7E93"/>
    <w:rsid w:val="00347C67"/>
    <w:rsid w:val="00415CDC"/>
    <w:rsid w:val="0042260C"/>
    <w:rsid w:val="00461AC5"/>
    <w:rsid w:val="004E7497"/>
    <w:rsid w:val="00501A0D"/>
    <w:rsid w:val="005116A8"/>
    <w:rsid w:val="00564CF1"/>
    <w:rsid w:val="00593780"/>
    <w:rsid w:val="005C1506"/>
    <w:rsid w:val="005E304A"/>
    <w:rsid w:val="005E46A0"/>
    <w:rsid w:val="005E744A"/>
    <w:rsid w:val="00614517"/>
    <w:rsid w:val="00631139"/>
    <w:rsid w:val="006A34DD"/>
    <w:rsid w:val="006C22B5"/>
    <w:rsid w:val="006C49A1"/>
    <w:rsid w:val="0078445A"/>
    <w:rsid w:val="007A00C2"/>
    <w:rsid w:val="007A0A4B"/>
    <w:rsid w:val="007F69E9"/>
    <w:rsid w:val="00852BCB"/>
    <w:rsid w:val="00870914"/>
    <w:rsid w:val="00876A6C"/>
    <w:rsid w:val="008833C3"/>
    <w:rsid w:val="008C02B9"/>
    <w:rsid w:val="008C49A3"/>
    <w:rsid w:val="008E15AB"/>
    <w:rsid w:val="009C463A"/>
    <w:rsid w:val="009E26A1"/>
    <w:rsid w:val="00A9643E"/>
    <w:rsid w:val="00B578B7"/>
    <w:rsid w:val="00B823E8"/>
    <w:rsid w:val="00BD6870"/>
    <w:rsid w:val="00BE5443"/>
    <w:rsid w:val="00C23612"/>
    <w:rsid w:val="00C4495A"/>
    <w:rsid w:val="00C71414"/>
    <w:rsid w:val="00C87AB5"/>
    <w:rsid w:val="00D16E6B"/>
    <w:rsid w:val="00D644D2"/>
    <w:rsid w:val="00D66392"/>
    <w:rsid w:val="00D71F49"/>
    <w:rsid w:val="00DA66A6"/>
    <w:rsid w:val="00DB464B"/>
    <w:rsid w:val="00E041A0"/>
    <w:rsid w:val="00EA5CCE"/>
    <w:rsid w:val="00EF6FA4"/>
    <w:rsid w:val="00F24E2D"/>
    <w:rsid w:val="00F960E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BBFB50"/>
  <w15:chartTrackingRefBased/>
  <w15:docId w15:val="{5D9962E2-8AC9-479D-8052-99E73E16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F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F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6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392"/>
  </w:style>
  <w:style w:type="paragraph" w:styleId="Footer">
    <w:name w:val="footer"/>
    <w:basedOn w:val="Normal"/>
    <w:link w:val="FooterChar"/>
    <w:uiPriority w:val="99"/>
    <w:unhideWhenUsed/>
    <w:rsid w:val="00D66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392"/>
  </w:style>
  <w:style w:type="character" w:styleId="CommentReference">
    <w:name w:val="annotation reference"/>
    <w:basedOn w:val="DefaultParagraphFont"/>
    <w:uiPriority w:val="99"/>
    <w:semiHidden/>
    <w:unhideWhenUsed/>
    <w:rsid w:val="005E7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4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4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44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44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45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y.arkansas.gov/images/uploads/rules/ImmunizationRequirement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5A11-2760-4911-A8C4-B8752E9E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Alice Serafini</dc:creator>
  <cp:keywords/>
  <dc:description/>
  <cp:lastModifiedBy>Bill Kincaid</cp:lastModifiedBy>
  <cp:revision>3</cp:revision>
  <dcterms:created xsi:type="dcterms:W3CDTF">2020-07-23T18:48:00Z</dcterms:created>
  <dcterms:modified xsi:type="dcterms:W3CDTF">2020-07-23T18:50:00Z</dcterms:modified>
</cp:coreProperties>
</file>