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B8E6" w14:textId="77777777" w:rsidR="001127C2" w:rsidRPr="001127C2" w:rsidRDefault="00051778" w:rsidP="001127C2">
      <w:pPr>
        <w:ind w:left="-540" w:right="-709"/>
        <w:jc w:val="center"/>
        <w:rPr>
          <w:b/>
          <w:sz w:val="32"/>
          <w:szCs w:val="28"/>
        </w:rPr>
      </w:pPr>
      <w:r>
        <w:rPr>
          <w:b/>
          <w:sz w:val="32"/>
          <w:szCs w:val="28"/>
        </w:rPr>
        <w:t xml:space="preserve">Workforce Analysis Request Form </w:t>
      </w:r>
    </w:p>
    <w:p w14:paraId="036F1BC3" w14:textId="77777777" w:rsidR="00442756" w:rsidRPr="00796EF2" w:rsidRDefault="00442756" w:rsidP="00534530">
      <w:pPr>
        <w:jc w:val="center"/>
        <w:rPr>
          <w:b/>
          <w:sz w:val="8"/>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AA0DCE" w:rsidRPr="00803BAE" w14:paraId="0EF75614" w14:textId="77777777" w:rsidTr="0085131D">
        <w:tc>
          <w:tcPr>
            <w:tcW w:w="10108" w:type="dxa"/>
            <w:shd w:val="clear" w:color="auto" w:fill="E0E0E0"/>
          </w:tcPr>
          <w:p w14:paraId="7870A138" w14:textId="77777777" w:rsidR="00AA0DCE" w:rsidRDefault="00294002" w:rsidP="00E355B6">
            <w:pPr>
              <w:jc w:val="both"/>
              <w:rPr>
                <w:color w:val="000000" w:themeColor="text1"/>
                <w:sz w:val="22"/>
                <w:szCs w:val="22"/>
              </w:rPr>
            </w:pPr>
            <w:r w:rsidRPr="00E355B6">
              <w:rPr>
                <w:sz w:val="22"/>
                <w:szCs w:val="22"/>
                <w:u w:val="single"/>
              </w:rPr>
              <w:t>Directions</w:t>
            </w:r>
            <w:r w:rsidR="00AA0DCE" w:rsidRPr="00E355B6">
              <w:rPr>
                <w:sz w:val="22"/>
                <w:szCs w:val="22"/>
              </w:rPr>
              <w:t xml:space="preserve">:  An institution </w:t>
            </w:r>
            <w:r w:rsidR="004B4D83" w:rsidRPr="00E355B6">
              <w:rPr>
                <w:sz w:val="22"/>
                <w:szCs w:val="22"/>
              </w:rPr>
              <w:t>shall</w:t>
            </w:r>
            <w:r w:rsidRPr="00E355B6">
              <w:rPr>
                <w:sz w:val="22"/>
                <w:szCs w:val="22"/>
              </w:rPr>
              <w:t xml:space="preserve"> use this f</w:t>
            </w:r>
            <w:r w:rsidR="00AA0DCE" w:rsidRPr="00E355B6">
              <w:rPr>
                <w:sz w:val="22"/>
                <w:szCs w:val="22"/>
              </w:rPr>
              <w:t xml:space="preserve">orm to </w:t>
            </w:r>
            <w:r w:rsidR="007A155F" w:rsidRPr="00E355B6">
              <w:rPr>
                <w:sz w:val="22"/>
                <w:szCs w:val="22"/>
              </w:rPr>
              <w:t>request workforce data analysis of a propose</w:t>
            </w:r>
            <w:r w:rsidR="00FA074E">
              <w:rPr>
                <w:sz w:val="22"/>
                <w:szCs w:val="22"/>
              </w:rPr>
              <w:t>d</w:t>
            </w:r>
            <w:r w:rsidR="007A155F" w:rsidRPr="00E355B6">
              <w:rPr>
                <w:sz w:val="22"/>
                <w:szCs w:val="22"/>
              </w:rPr>
              <w:t xml:space="preserve"> </w:t>
            </w:r>
            <w:r w:rsidR="00B237E0" w:rsidRPr="00E355B6">
              <w:rPr>
                <w:sz w:val="22"/>
                <w:szCs w:val="22"/>
              </w:rPr>
              <w:t>degree</w:t>
            </w:r>
            <w:r w:rsidRPr="00E355B6">
              <w:rPr>
                <w:sz w:val="22"/>
                <w:szCs w:val="22"/>
              </w:rPr>
              <w:t xml:space="preserve"> program</w:t>
            </w:r>
            <w:r w:rsidR="007A155F" w:rsidRPr="00E355B6">
              <w:rPr>
                <w:sz w:val="22"/>
                <w:szCs w:val="22"/>
              </w:rPr>
              <w:t>.</w:t>
            </w:r>
            <w:r w:rsidRPr="00E355B6">
              <w:rPr>
                <w:sz w:val="22"/>
                <w:szCs w:val="22"/>
              </w:rPr>
              <w:t xml:space="preserve">  In c</w:t>
            </w:r>
            <w:r w:rsidR="00DE20F1" w:rsidRPr="00E355B6">
              <w:rPr>
                <w:sz w:val="22"/>
                <w:szCs w:val="22"/>
              </w:rPr>
              <w:t>ompleting the form, the institution</w:t>
            </w:r>
            <w:r w:rsidRPr="00E355B6">
              <w:rPr>
                <w:sz w:val="22"/>
                <w:szCs w:val="22"/>
              </w:rPr>
              <w:t xml:space="preserve"> should </w:t>
            </w:r>
            <w:r w:rsidR="00AA0DCE" w:rsidRPr="00E355B6">
              <w:rPr>
                <w:sz w:val="22"/>
                <w:szCs w:val="22"/>
              </w:rPr>
              <w:t>refer to</w:t>
            </w:r>
            <w:r w:rsidR="00664F4C" w:rsidRPr="00E355B6">
              <w:rPr>
                <w:sz w:val="22"/>
                <w:szCs w:val="22"/>
              </w:rPr>
              <w:t xml:space="preserve"> the </w:t>
            </w:r>
            <w:r w:rsidR="00B25867" w:rsidRPr="00E355B6">
              <w:rPr>
                <w:sz w:val="22"/>
                <w:szCs w:val="22"/>
              </w:rPr>
              <w:t xml:space="preserve">document </w:t>
            </w:r>
            <w:hyperlink r:id="rId8" w:history="1">
              <w:r w:rsidR="00CC0EBC" w:rsidRPr="00E355B6">
                <w:rPr>
                  <w:rStyle w:val="Hyperlink"/>
                  <w:sz w:val="22"/>
                  <w:szCs w:val="22"/>
                </w:rPr>
                <w:t>AHECB Policy 5.11 Approval of New Degree Programs and Units</w:t>
              </w:r>
            </w:hyperlink>
            <w:r w:rsidR="0038149D" w:rsidRPr="00E355B6">
              <w:rPr>
                <w:i/>
                <w:sz w:val="22"/>
                <w:szCs w:val="22"/>
              </w:rPr>
              <w:t xml:space="preserve">, </w:t>
            </w:r>
            <w:r w:rsidR="0038149D" w:rsidRPr="00E355B6">
              <w:rPr>
                <w:sz w:val="22"/>
                <w:szCs w:val="22"/>
              </w:rPr>
              <w:t xml:space="preserve">which </w:t>
            </w:r>
            <w:r w:rsidR="00DF3F9D" w:rsidRPr="00E355B6">
              <w:rPr>
                <w:sz w:val="22"/>
                <w:szCs w:val="22"/>
              </w:rPr>
              <w:t>prescribes</w:t>
            </w:r>
            <w:r w:rsidR="00DF3F9D" w:rsidRPr="00E355B6">
              <w:rPr>
                <w:i/>
                <w:sz w:val="22"/>
                <w:szCs w:val="22"/>
              </w:rPr>
              <w:t xml:space="preserve"> </w:t>
            </w:r>
            <w:r w:rsidR="001A2C86" w:rsidRPr="00E355B6">
              <w:rPr>
                <w:sz w:val="22"/>
                <w:szCs w:val="22"/>
              </w:rPr>
              <w:t xml:space="preserve">specific </w:t>
            </w:r>
            <w:r w:rsidR="0038149D" w:rsidRPr="00E355B6">
              <w:rPr>
                <w:sz w:val="22"/>
                <w:szCs w:val="22"/>
              </w:rPr>
              <w:t>requirements</w:t>
            </w:r>
            <w:r w:rsidR="001A2C86" w:rsidRPr="00E355B6">
              <w:rPr>
                <w:sz w:val="22"/>
                <w:szCs w:val="22"/>
              </w:rPr>
              <w:t xml:space="preserve"> for </w:t>
            </w:r>
            <w:r w:rsidR="00DF3F9D" w:rsidRPr="00E355B6">
              <w:rPr>
                <w:sz w:val="22"/>
                <w:szCs w:val="22"/>
              </w:rPr>
              <w:t>new degree programs</w:t>
            </w:r>
            <w:r w:rsidR="001A2C86" w:rsidRPr="00E355B6">
              <w:rPr>
                <w:i/>
                <w:sz w:val="22"/>
                <w:szCs w:val="22"/>
              </w:rPr>
              <w:t>.</w:t>
            </w:r>
            <w:r w:rsidR="00CC0EBC" w:rsidRPr="00E355B6">
              <w:rPr>
                <w:sz w:val="22"/>
                <w:szCs w:val="22"/>
              </w:rPr>
              <w:t xml:space="preserve"> </w:t>
            </w:r>
            <w:r w:rsidR="00CC0EBC" w:rsidRPr="00B25867">
              <w:rPr>
                <w:b/>
                <w:sz w:val="22"/>
                <w:szCs w:val="22"/>
              </w:rPr>
              <w:t>Note:</w:t>
            </w:r>
            <w:r w:rsidR="00CC0EBC" w:rsidRPr="00E355B6">
              <w:rPr>
                <w:sz w:val="22"/>
                <w:szCs w:val="22"/>
              </w:rPr>
              <w:t xml:space="preserve">  This form</w:t>
            </w:r>
            <w:r w:rsidR="00FA074E">
              <w:rPr>
                <w:sz w:val="22"/>
                <w:szCs w:val="22"/>
              </w:rPr>
              <w:t xml:space="preserve"> is</w:t>
            </w:r>
            <w:r w:rsidR="00CC0EBC" w:rsidRPr="00E355B6">
              <w:rPr>
                <w:sz w:val="22"/>
                <w:szCs w:val="22"/>
              </w:rPr>
              <w:t xml:space="preserve"> required to be submitted by the Chief </w:t>
            </w:r>
            <w:r w:rsidR="009226A8" w:rsidRPr="00E355B6">
              <w:rPr>
                <w:sz w:val="22"/>
                <w:szCs w:val="22"/>
              </w:rPr>
              <w:t>Academic Officer or</w:t>
            </w:r>
            <w:r w:rsidR="00051778" w:rsidRPr="00E355B6">
              <w:rPr>
                <w:sz w:val="22"/>
                <w:szCs w:val="22"/>
              </w:rPr>
              <w:t xml:space="preserve"> individual</w:t>
            </w:r>
            <w:r w:rsidR="009226A8" w:rsidRPr="00E355B6">
              <w:rPr>
                <w:sz w:val="22"/>
                <w:szCs w:val="22"/>
              </w:rPr>
              <w:t>(s) they designate</w:t>
            </w:r>
            <w:r w:rsidR="00FA074E">
              <w:rPr>
                <w:sz w:val="22"/>
                <w:szCs w:val="22"/>
              </w:rPr>
              <w:t xml:space="preserve">. </w:t>
            </w:r>
            <w:r w:rsidR="00C634D7" w:rsidRPr="00B25867">
              <w:rPr>
                <w:color w:val="000000" w:themeColor="text1"/>
                <w:sz w:val="22"/>
                <w:szCs w:val="22"/>
              </w:rPr>
              <w:t>Answers need not be confined to the space allotted but may extend to several pages.</w:t>
            </w:r>
          </w:p>
          <w:p w14:paraId="5888B0E6" w14:textId="10143AD6" w:rsidR="00851B14" w:rsidRPr="00C634D7" w:rsidRDefault="00851B14" w:rsidP="00E355B6">
            <w:pPr>
              <w:jc w:val="both"/>
              <w:rPr>
                <w:sz w:val="22"/>
                <w:szCs w:val="22"/>
              </w:rPr>
            </w:pPr>
            <w:r>
              <w:rPr>
                <w:color w:val="000000" w:themeColor="text1"/>
                <w:sz w:val="22"/>
                <w:szCs w:val="22"/>
              </w:rPr>
              <w:t xml:space="preserve">Workforce Analysis is not required for </w:t>
            </w:r>
            <w:r w:rsidRPr="00851B14">
              <w:rPr>
                <w:b/>
                <w:bCs/>
                <w:color w:val="000000" w:themeColor="text1"/>
                <w:sz w:val="22"/>
                <w:szCs w:val="22"/>
              </w:rPr>
              <w:t>certificate of proficiency or technical certificate</w:t>
            </w:r>
            <w:r>
              <w:rPr>
                <w:b/>
                <w:bCs/>
                <w:color w:val="000000" w:themeColor="text1"/>
                <w:sz w:val="22"/>
                <w:szCs w:val="22"/>
              </w:rPr>
              <w:t xml:space="preserve">. </w:t>
            </w:r>
          </w:p>
        </w:tc>
      </w:tr>
    </w:tbl>
    <w:p w14:paraId="41ADEDAB" w14:textId="77777777" w:rsidR="0038149D" w:rsidRPr="00796EF2" w:rsidRDefault="0038149D" w:rsidP="0038149D">
      <w:pPr>
        <w:rPr>
          <w:sz w:val="1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38149D" w:rsidRPr="0085131D" w14:paraId="7C9DE288" w14:textId="77777777" w:rsidTr="00752D2A">
        <w:trPr>
          <w:trHeight w:val="368"/>
        </w:trPr>
        <w:tc>
          <w:tcPr>
            <w:tcW w:w="10080" w:type="dxa"/>
            <w:shd w:val="clear" w:color="auto" w:fill="D9D9D9" w:themeFill="background1" w:themeFillShade="D9"/>
            <w:vAlign w:val="center"/>
          </w:tcPr>
          <w:p w14:paraId="48839FFF" w14:textId="77777777" w:rsidR="00551B14" w:rsidRPr="00796EF2" w:rsidRDefault="002D12B9" w:rsidP="00796EF2">
            <w:pPr>
              <w:jc w:val="center"/>
              <w:rPr>
                <w:b/>
                <w:sz w:val="24"/>
                <w:szCs w:val="28"/>
              </w:rPr>
            </w:pPr>
            <w:r>
              <w:rPr>
                <w:b/>
                <w:sz w:val="24"/>
                <w:szCs w:val="28"/>
              </w:rPr>
              <w:t xml:space="preserve">Program Information for Analysis </w:t>
            </w:r>
          </w:p>
        </w:tc>
      </w:tr>
      <w:tr w:rsidR="00796EF2" w:rsidRPr="0085131D" w14:paraId="354EED17" w14:textId="77777777" w:rsidTr="00796EF2">
        <w:tc>
          <w:tcPr>
            <w:tcW w:w="10080" w:type="dxa"/>
          </w:tcPr>
          <w:p w14:paraId="500886FF" w14:textId="77777777" w:rsidR="00796EF2" w:rsidRPr="00796EF2" w:rsidRDefault="00796EF2" w:rsidP="00796EF2">
            <w:pPr>
              <w:rPr>
                <w:sz w:val="10"/>
                <w:szCs w:val="24"/>
              </w:rPr>
            </w:pPr>
          </w:p>
          <w:p w14:paraId="722FCDC2" w14:textId="0F176D91" w:rsidR="00796EF2" w:rsidRPr="00ED256A" w:rsidRDefault="00796EF2" w:rsidP="00796EF2">
            <w:pPr>
              <w:rPr>
                <w:sz w:val="22"/>
                <w:szCs w:val="24"/>
              </w:rPr>
            </w:pPr>
            <w:r w:rsidRPr="00ED256A">
              <w:rPr>
                <w:sz w:val="22"/>
                <w:szCs w:val="24"/>
              </w:rPr>
              <w:t xml:space="preserve">1.  </w:t>
            </w:r>
            <w:r w:rsidRPr="00ED256A">
              <w:rPr>
                <w:sz w:val="22"/>
                <w:szCs w:val="24"/>
                <w:u w:val="single"/>
              </w:rPr>
              <w:t>Institution</w:t>
            </w:r>
            <w:r w:rsidRPr="00ED256A">
              <w:rPr>
                <w:sz w:val="22"/>
                <w:szCs w:val="24"/>
              </w:rPr>
              <w:t xml:space="preserve">: </w:t>
            </w:r>
            <w:r w:rsidR="00194459" w:rsidRPr="00194459">
              <w:rPr>
                <w:b/>
                <w:bCs/>
                <w:sz w:val="22"/>
                <w:szCs w:val="24"/>
              </w:rPr>
              <w:t>The University of Arkansas</w:t>
            </w:r>
          </w:p>
          <w:p w14:paraId="2EF5859C" w14:textId="77777777" w:rsidR="00796EF2" w:rsidRDefault="00796EF2" w:rsidP="0038149D">
            <w:pPr>
              <w:rPr>
                <w:b/>
                <w:sz w:val="22"/>
                <w:szCs w:val="24"/>
              </w:rPr>
            </w:pPr>
          </w:p>
          <w:p w14:paraId="1C138E83" w14:textId="77777777" w:rsidR="00796EF2" w:rsidRPr="00ED256A" w:rsidRDefault="00796EF2" w:rsidP="0038149D">
            <w:pPr>
              <w:rPr>
                <w:b/>
                <w:sz w:val="22"/>
                <w:szCs w:val="24"/>
              </w:rPr>
            </w:pPr>
          </w:p>
        </w:tc>
      </w:tr>
      <w:tr w:rsidR="0038149D" w:rsidRPr="0085131D" w14:paraId="65631E5D" w14:textId="77777777" w:rsidTr="00796EF2">
        <w:tc>
          <w:tcPr>
            <w:tcW w:w="10080" w:type="dxa"/>
          </w:tcPr>
          <w:p w14:paraId="2FEA595B" w14:textId="77777777" w:rsidR="0038149D" w:rsidRPr="00796EF2" w:rsidRDefault="0038149D" w:rsidP="0038149D">
            <w:pPr>
              <w:rPr>
                <w:sz w:val="10"/>
                <w:szCs w:val="10"/>
              </w:rPr>
            </w:pPr>
          </w:p>
          <w:p w14:paraId="4C72D545" w14:textId="10D31B89" w:rsidR="0038149D" w:rsidRDefault="0038149D" w:rsidP="0085131D">
            <w:pPr>
              <w:tabs>
                <w:tab w:val="left" w:pos="300"/>
              </w:tabs>
              <w:rPr>
                <w:sz w:val="22"/>
                <w:szCs w:val="24"/>
              </w:rPr>
            </w:pPr>
            <w:r w:rsidRPr="00ED256A">
              <w:rPr>
                <w:sz w:val="22"/>
                <w:szCs w:val="24"/>
              </w:rPr>
              <w:t xml:space="preserve">2. </w:t>
            </w:r>
            <w:r w:rsidRPr="00ED256A">
              <w:rPr>
                <w:sz w:val="22"/>
                <w:szCs w:val="24"/>
                <w:u w:val="single"/>
              </w:rPr>
              <w:t>Program Name</w:t>
            </w:r>
            <w:r w:rsidRPr="00ED256A">
              <w:rPr>
                <w:sz w:val="22"/>
                <w:szCs w:val="24"/>
              </w:rPr>
              <w:t xml:space="preserve"> –  Show how the program would appear on the Coordinating Board’s</w:t>
            </w:r>
            <w:r w:rsidR="00803BAE">
              <w:rPr>
                <w:sz w:val="22"/>
                <w:szCs w:val="24"/>
              </w:rPr>
              <w:t xml:space="preserve"> </w:t>
            </w:r>
            <w:r w:rsidRPr="00ED256A">
              <w:rPr>
                <w:sz w:val="22"/>
                <w:szCs w:val="24"/>
              </w:rPr>
              <w:t>program inventory (</w:t>
            </w:r>
            <w:r w:rsidR="00635DD4" w:rsidRPr="00ED256A">
              <w:rPr>
                <w:i/>
                <w:sz w:val="22"/>
                <w:szCs w:val="24"/>
              </w:rPr>
              <w:t>e.g., Bachelor</w:t>
            </w:r>
            <w:r w:rsidRPr="00ED256A">
              <w:rPr>
                <w:i/>
                <w:sz w:val="22"/>
                <w:szCs w:val="24"/>
              </w:rPr>
              <w:t xml:space="preserve"> of Business Administration </w:t>
            </w:r>
            <w:r w:rsidR="009226A8">
              <w:rPr>
                <w:i/>
                <w:sz w:val="22"/>
                <w:szCs w:val="24"/>
              </w:rPr>
              <w:t xml:space="preserve">or </w:t>
            </w:r>
            <w:r w:rsidR="00EB5352" w:rsidRPr="00EB5352">
              <w:rPr>
                <w:i/>
                <w:sz w:val="22"/>
                <w:szCs w:val="22"/>
              </w:rPr>
              <w:t>Associate of Science</w:t>
            </w:r>
            <w:r w:rsidR="00EB5352">
              <w:rPr>
                <w:i/>
                <w:sz w:val="22"/>
                <w:szCs w:val="22"/>
              </w:rPr>
              <w:t xml:space="preserve"> in Accounting</w:t>
            </w:r>
            <w:r w:rsidRPr="00ED256A">
              <w:rPr>
                <w:sz w:val="22"/>
                <w:szCs w:val="24"/>
              </w:rPr>
              <w:t>):</w:t>
            </w:r>
          </w:p>
          <w:p w14:paraId="0DD411AB" w14:textId="6FC2AAE7" w:rsidR="00194459" w:rsidRDefault="00194459" w:rsidP="0085131D">
            <w:pPr>
              <w:tabs>
                <w:tab w:val="left" w:pos="300"/>
              </w:tabs>
              <w:rPr>
                <w:sz w:val="22"/>
                <w:szCs w:val="24"/>
              </w:rPr>
            </w:pPr>
          </w:p>
          <w:p w14:paraId="1A234EAA" w14:textId="6DFED4CF" w:rsidR="00194459" w:rsidRPr="00194459" w:rsidRDefault="00194459" w:rsidP="0085131D">
            <w:pPr>
              <w:tabs>
                <w:tab w:val="left" w:pos="300"/>
              </w:tabs>
              <w:rPr>
                <w:b/>
                <w:bCs/>
                <w:sz w:val="22"/>
                <w:szCs w:val="24"/>
              </w:rPr>
            </w:pPr>
            <w:r w:rsidRPr="00194459">
              <w:rPr>
                <w:b/>
                <w:bCs/>
                <w:sz w:val="22"/>
                <w:szCs w:val="24"/>
              </w:rPr>
              <w:t xml:space="preserve">Doctor of Musical Arts in </w:t>
            </w:r>
            <w:r w:rsidR="00635407">
              <w:rPr>
                <w:b/>
                <w:bCs/>
                <w:sz w:val="22"/>
                <w:szCs w:val="24"/>
              </w:rPr>
              <w:t xml:space="preserve">Music with a Concentration in </w:t>
            </w:r>
            <w:r w:rsidRPr="00194459">
              <w:rPr>
                <w:b/>
                <w:bCs/>
                <w:sz w:val="22"/>
                <w:szCs w:val="24"/>
              </w:rPr>
              <w:t>Conducting</w:t>
            </w:r>
          </w:p>
          <w:p w14:paraId="6C6C9068" w14:textId="77777777" w:rsidR="00796EF2" w:rsidRPr="00ED256A" w:rsidRDefault="00796EF2" w:rsidP="0085131D">
            <w:pPr>
              <w:tabs>
                <w:tab w:val="left" w:pos="300"/>
              </w:tabs>
              <w:rPr>
                <w:sz w:val="22"/>
                <w:szCs w:val="24"/>
              </w:rPr>
            </w:pPr>
          </w:p>
          <w:p w14:paraId="1BECC58B" w14:textId="77777777" w:rsidR="0038149D" w:rsidRPr="00ED256A" w:rsidRDefault="0038149D" w:rsidP="00245FB5">
            <w:pPr>
              <w:rPr>
                <w:sz w:val="22"/>
                <w:szCs w:val="24"/>
                <w:u w:val="single"/>
              </w:rPr>
            </w:pPr>
          </w:p>
        </w:tc>
      </w:tr>
      <w:tr w:rsidR="0038149D" w:rsidRPr="0085131D" w14:paraId="0F71C0DE" w14:textId="77777777" w:rsidTr="00796EF2">
        <w:tc>
          <w:tcPr>
            <w:tcW w:w="10080" w:type="dxa"/>
          </w:tcPr>
          <w:p w14:paraId="2690D0D2" w14:textId="77777777" w:rsidR="0038149D" w:rsidRPr="00796EF2" w:rsidRDefault="0038149D" w:rsidP="00245FB5">
            <w:pPr>
              <w:rPr>
                <w:sz w:val="10"/>
                <w:szCs w:val="10"/>
              </w:rPr>
            </w:pPr>
          </w:p>
          <w:p w14:paraId="6B50CF0F" w14:textId="68D33362" w:rsidR="00CB43A9" w:rsidRDefault="0003128E" w:rsidP="0085131D">
            <w:pPr>
              <w:tabs>
                <w:tab w:val="left" w:pos="180"/>
              </w:tabs>
              <w:rPr>
                <w:color w:val="000000" w:themeColor="text1"/>
                <w:sz w:val="22"/>
                <w:szCs w:val="24"/>
              </w:rPr>
            </w:pPr>
            <w:r w:rsidRPr="00EE17CB">
              <w:rPr>
                <w:color w:val="000000" w:themeColor="text1"/>
                <w:sz w:val="22"/>
                <w:szCs w:val="24"/>
              </w:rPr>
              <w:t xml:space="preserve">3.  </w:t>
            </w:r>
            <w:r w:rsidR="0038149D" w:rsidRPr="00EE17CB">
              <w:rPr>
                <w:color w:val="000000" w:themeColor="text1"/>
                <w:sz w:val="22"/>
                <w:szCs w:val="24"/>
                <w:u w:val="single"/>
              </w:rPr>
              <w:t>Proposed CIP Code</w:t>
            </w:r>
            <w:r w:rsidR="0038149D" w:rsidRPr="00EE17CB">
              <w:rPr>
                <w:color w:val="000000" w:themeColor="text1"/>
                <w:sz w:val="22"/>
                <w:szCs w:val="24"/>
              </w:rPr>
              <w:t>:</w:t>
            </w:r>
            <w:r w:rsidR="00EB5352" w:rsidRPr="00EE17CB">
              <w:rPr>
                <w:color w:val="000000" w:themeColor="text1"/>
                <w:sz w:val="22"/>
                <w:szCs w:val="24"/>
              </w:rPr>
              <w:t xml:space="preserve"> </w:t>
            </w:r>
            <w:r w:rsidR="00CB43A9" w:rsidRPr="00EE17CB">
              <w:rPr>
                <w:color w:val="000000" w:themeColor="text1"/>
                <w:sz w:val="22"/>
                <w:szCs w:val="24"/>
              </w:rPr>
              <w:t xml:space="preserve">If the proposed program does not fit easily into one </w:t>
            </w:r>
            <w:hyperlink r:id="rId9" w:history="1">
              <w:r w:rsidR="00CB43A9" w:rsidRPr="00A444F1">
                <w:rPr>
                  <w:rStyle w:val="Hyperlink"/>
                  <w:sz w:val="22"/>
                  <w:szCs w:val="24"/>
                </w:rPr>
                <w:t>CIP Code</w:t>
              </w:r>
            </w:hyperlink>
            <w:r w:rsidR="00CB43A9" w:rsidRPr="00EE17CB">
              <w:rPr>
                <w:color w:val="000000" w:themeColor="text1"/>
                <w:sz w:val="22"/>
                <w:szCs w:val="24"/>
              </w:rPr>
              <w:t>, provide the code it most closely falls into and explain differences / nuances of your program</w:t>
            </w:r>
            <w:r w:rsidR="00194459">
              <w:rPr>
                <w:color w:val="000000" w:themeColor="text1"/>
                <w:sz w:val="22"/>
                <w:szCs w:val="24"/>
              </w:rPr>
              <w:t>:</w:t>
            </w:r>
          </w:p>
          <w:p w14:paraId="09672CB1" w14:textId="562A3FF7" w:rsidR="00194459" w:rsidRDefault="00194459" w:rsidP="0085131D">
            <w:pPr>
              <w:tabs>
                <w:tab w:val="left" w:pos="180"/>
              </w:tabs>
              <w:rPr>
                <w:color w:val="000000" w:themeColor="text1"/>
                <w:sz w:val="22"/>
                <w:szCs w:val="24"/>
              </w:rPr>
            </w:pPr>
          </w:p>
          <w:p w14:paraId="2DE4D361" w14:textId="1BB20758" w:rsidR="00194459" w:rsidRPr="00194459" w:rsidRDefault="00635407" w:rsidP="0085131D">
            <w:pPr>
              <w:tabs>
                <w:tab w:val="left" w:pos="180"/>
              </w:tabs>
              <w:rPr>
                <w:color w:val="000000" w:themeColor="text1"/>
                <w:sz w:val="22"/>
                <w:szCs w:val="24"/>
              </w:rPr>
            </w:pPr>
            <w:r w:rsidRPr="00635407">
              <w:rPr>
                <w:b/>
                <w:bCs/>
                <w:color w:val="000000" w:themeColor="text1"/>
                <w:sz w:val="22"/>
                <w:szCs w:val="24"/>
              </w:rPr>
              <w:t>50.0903 - Music Performance, General</w:t>
            </w:r>
          </w:p>
          <w:p w14:paraId="1624738E" w14:textId="77777777" w:rsidR="00796EF2" w:rsidRPr="002D12B9" w:rsidRDefault="00796EF2" w:rsidP="0085131D">
            <w:pPr>
              <w:tabs>
                <w:tab w:val="left" w:pos="180"/>
              </w:tabs>
              <w:rPr>
                <w:sz w:val="22"/>
                <w:szCs w:val="24"/>
              </w:rPr>
            </w:pPr>
          </w:p>
        </w:tc>
      </w:tr>
      <w:tr w:rsidR="0038149D" w:rsidRPr="0085131D" w14:paraId="21E5062A" w14:textId="77777777" w:rsidTr="00796EF2">
        <w:tc>
          <w:tcPr>
            <w:tcW w:w="10080" w:type="dxa"/>
          </w:tcPr>
          <w:p w14:paraId="1A00B38E" w14:textId="77777777" w:rsidR="0038149D" w:rsidRPr="00796EF2" w:rsidRDefault="0038149D" w:rsidP="00245FB5">
            <w:pPr>
              <w:rPr>
                <w:sz w:val="10"/>
                <w:szCs w:val="10"/>
              </w:rPr>
            </w:pPr>
          </w:p>
          <w:p w14:paraId="27F51D30" w14:textId="77777777" w:rsidR="00F62B53" w:rsidRPr="00EE17CB" w:rsidRDefault="0038149D" w:rsidP="007C5E90">
            <w:pPr>
              <w:tabs>
                <w:tab w:val="left" w:pos="360"/>
              </w:tabs>
              <w:rPr>
                <w:color w:val="000000" w:themeColor="text1"/>
                <w:sz w:val="22"/>
                <w:szCs w:val="24"/>
              </w:rPr>
            </w:pPr>
            <w:r w:rsidRPr="00EE17CB">
              <w:rPr>
                <w:color w:val="000000" w:themeColor="text1"/>
                <w:sz w:val="22"/>
                <w:szCs w:val="24"/>
              </w:rPr>
              <w:t>4</w:t>
            </w:r>
            <w:r w:rsidR="00CB43A9" w:rsidRPr="00EE17CB">
              <w:rPr>
                <w:color w:val="000000" w:themeColor="text1"/>
                <w:sz w:val="22"/>
                <w:szCs w:val="24"/>
              </w:rPr>
              <w:t>a</w:t>
            </w:r>
            <w:r w:rsidR="00F62B53" w:rsidRPr="00EE17CB">
              <w:rPr>
                <w:color w:val="000000" w:themeColor="text1"/>
                <w:sz w:val="22"/>
                <w:szCs w:val="24"/>
              </w:rPr>
              <w:t xml:space="preserve">.  </w:t>
            </w:r>
            <w:hyperlink r:id="rId10" w:history="1">
              <w:r w:rsidR="007C5E90" w:rsidRPr="00A444F1">
                <w:rPr>
                  <w:rStyle w:val="Hyperlink"/>
                  <w:sz w:val="22"/>
                  <w:szCs w:val="22"/>
                </w:rPr>
                <w:t>Standard Occupational Classification (SOC)</w:t>
              </w:r>
            </w:hyperlink>
            <w:r w:rsidR="00CB43A9" w:rsidRPr="00EE17CB">
              <w:rPr>
                <w:rStyle w:val="st"/>
                <w:color w:val="000000" w:themeColor="text1"/>
                <w:sz w:val="22"/>
                <w:szCs w:val="22"/>
                <w:u w:val="single"/>
              </w:rPr>
              <w:t xml:space="preserve"> from CIP-SOC Crosswalk</w:t>
            </w:r>
            <w:r w:rsidR="007C5E90" w:rsidRPr="00EE17CB">
              <w:rPr>
                <w:rStyle w:val="st"/>
                <w:color w:val="000000" w:themeColor="text1"/>
                <w:sz w:val="22"/>
                <w:szCs w:val="22"/>
                <w:u w:val="single"/>
              </w:rPr>
              <w:t>:</w:t>
            </w:r>
          </w:p>
          <w:p w14:paraId="016D82AC" w14:textId="77777777" w:rsidR="00F62B53" w:rsidRPr="00EE17CB" w:rsidRDefault="00F62B53" w:rsidP="00F62B53">
            <w:pPr>
              <w:tabs>
                <w:tab w:val="left" w:pos="345"/>
              </w:tabs>
              <w:rPr>
                <w:color w:val="000000" w:themeColor="text1"/>
                <w:sz w:val="22"/>
                <w:szCs w:val="24"/>
              </w:rPr>
            </w:pPr>
          </w:p>
          <w:p w14:paraId="613AB7DB" w14:textId="43036699" w:rsidR="009C03CB" w:rsidRDefault="009C03CB" w:rsidP="00F53CD9">
            <w:pPr>
              <w:jc w:val="both"/>
              <w:rPr>
                <w:b/>
                <w:color w:val="000000" w:themeColor="text1"/>
                <w:sz w:val="22"/>
                <w:szCs w:val="24"/>
              </w:rPr>
            </w:pPr>
            <w:r w:rsidRPr="00EE17CB">
              <w:rPr>
                <w:color w:val="000000" w:themeColor="text1"/>
                <w:sz w:val="22"/>
                <w:szCs w:val="24"/>
              </w:rPr>
              <w:t xml:space="preserve">Take SOC codes from NCES </w:t>
            </w:r>
            <w:r w:rsidR="002D12B9" w:rsidRPr="00EE17CB">
              <w:rPr>
                <w:color w:val="000000" w:themeColor="text1"/>
                <w:sz w:val="22"/>
                <w:szCs w:val="24"/>
              </w:rPr>
              <w:t>Crosswalk of CIP to SOC</w:t>
            </w:r>
            <w:r w:rsidRPr="00EE17CB">
              <w:rPr>
                <w:color w:val="000000" w:themeColor="text1"/>
                <w:sz w:val="22"/>
                <w:szCs w:val="24"/>
              </w:rPr>
              <w:t>, ranked in order of relevance (i.e., the degree to which program graduates are expected to desire and/or be qualified to work in each occupation)</w:t>
            </w:r>
            <w:r w:rsidR="000237CF">
              <w:rPr>
                <w:color w:val="000000" w:themeColor="text1"/>
                <w:sz w:val="22"/>
                <w:szCs w:val="24"/>
              </w:rPr>
              <w:t xml:space="preserve"> </w:t>
            </w:r>
          </w:p>
          <w:p w14:paraId="6B7DCADF" w14:textId="53DCB563" w:rsidR="006F2EA2" w:rsidRDefault="006F2EA2" w:rsidP="00F53CD9">
            <w:pPr>
              <w:jc w:val="both"/>
              <w:rPr>
                <w:b/>
                <w:color w:val="000000" w:themeColor="text1"/>
                <w:sz w:val="22"/>
                <w:szCs w:val="24"/>
              </w:rPr>
            </w:pPr>
          </w:p>
          <w:p w14:paraId="3FD9ED36" w14:textId="0656953D" w:rsidR="0027795B" w:rsidRPr="0027795B" w:rsidRDefault="0027795B" w:rsidP="0027795B">
            <w:pPr>
              <w:numPr>
                <w:ilvl w:val="0"/>
                <w:numId w:val="20"/>
              </w:numPr>
              <w:shd w:val="clear" w:color="auto" w:fill="FFFFFF"/>
              <w:spacing w:line="334" w:lineRule="atLeast"/>
              <w:rPr>
                <w:b/>
                <w:bCs/>
                <w:color w:val="333333"/>
                <w:sz w:val="21"/>
                <w:szCs w:val="21"/>
              </w:rPr>
            </w:pPr>
            <w:r w:rsidRPr="0027795B">
              <w:rPr>
                <w:b/>
                <w:bCs/>
                <w:color w:val="333333"/>
                <w:sz w:val="21"/>
                <w:szCs w:val="21"/>
              </w:rPr>
              <w:t>50.0903</w:t>
            </w:r>
            <w:r w:rsidRPr="0027795B">
              <w:rPr>
                <w:b/>
                <w:bCs/>
                <w:color w:val="333333"/>
                <w:sz w:val="21"/>
                <w:szCs w:val="21"/>
              </w:rPr>
              <w:tab/>
              <w:t>Music Performance, General.</w:t>
            </w:r>
            <w:r w:rsidRPr="0027795B">
              <w:rPr>
                <w:b/>
                <w:bCs/>
                <w:color w:val="333333"/>
                <w:sz w:val="21"/>
                <w:szCs w:val="21"/>
              </w:rPr>
              <w:tab/>
              <w:t>25-1121</w:t>
            </w:r>
            <w:r w:rsidRPr="0027795B">
              <w:rPr>
                <w:b/>
                <w:bCs/>
                <w:color w:val="333333"/>
                <w:sz w:val="21"/>
                <w:szCs w:val="21"/>
              </w:rPr>
              <w:tab/>
              <w:t xml:space="preserve">Art, Drama, and Music </w:t>
            </w:r>
            <w:r>
              <w:rPr>
                <w:b/>
                <w:bCs/>
                <w:color w:val="333333"/>
                <w:sz w:val="21"/>
                <w:szCs w:val="21"/>
              </w:rPr>
              <w:t xml:space="preserve">       </w:t>
            </w:r>
            <w:r w:rsidRPr="0027795B">
              <w:rPr>
                <w:b/>
                <w:bCs/>
                <w:color w:val="333333"/>
                <w:sz w:val="21"/>
                <w:szCs w:val="21"/>
              </w:rPr>
              <w:t>Teachers, Postsecondary</w:t>
            </w:r>
          </w:p>
          <w:p w14:paraId="266E0849" w14:textId="77777777" w:rsidR="0027795B" w:rsidRPr="0027795B" w:rsidRDefault="0027795B" w:rsidP="0027795B">
            <w:pPr>
              <w:numPr>
                <w:ilvl w:val="0"/>
                <w:numId w:val="20"/>
              </w:numPr>
              <w:shd w:val="clear" w:color="auto" w:fill="FFFFFF"/>
              <w:spacing w:line="334" w:lineRule="atLeast"/>
              <w:rPr>
                <w:b/>
                <w:bCs/>
                <w:sz w:val="21"/>
                <w:szCs w:val="21"/>
              </w:rPr>
            </w:pPr>
            <w:r w:rsidRPr="0027795B">
              <w:rPr>
                <w:b/>
                <w:bCs/>
                <w:sz w:val="21"/>
                <w:szCs w:val="21"/>
              </w:rPr>
              <w:t>50.0903</w:t>
            </w:r>
            <w:r w:rsidRPr="0027795B">
              <w:rPr>
                <w:b/>
                <w:bCs/>
                <w:sz w:val="21"/>
                <w:szCs w:val="21"/>
              </w:rPr>
              <w:tab/>
              <w:t>Music Performance, General.</w:t>
            </w:r>
            <w:r w:rsidRPr="0027795B">
              <w:rPr>
                <w:b/>
                <w:bCs/>
                <w:sz w:val="21"/>
                <w:szCs w:val="21"/>
              </w:rPr>
              <w:tab/>
              <w:t>27-2041</w:t>
            </w:r>
            <w:r w:rsidRPr="0027795B">
              <w:rPr>
                <w:b/>
                <w:bCs/>
                <w:sz w:val="21"/>
                <w:szCs w:val="21"/>
              </w:rPr>
              <w:tab/>
              <w:t>Music Directors and Composers</w:t>
            </w:r>
          </w:p>
          <w:p w14:paraId="24AC2F51" w14:textId="66409FED" w:rsidR="009C03CB" w:rsidRDefault="0027795B" w:rsidP="0027795B">
            <w:pPr>
              <w:numPr>
                <w:ilvl w:val="0"/>
                <w:numId w:val="20"/>
              </w:numPr>
              <w:rPr>
                <w:color w:val="FF0000"/>
                <w:sz w:val="22"/>
                <w:szCs w:val="24"/>
              </w:rPr>
            </w:pPr>
            <w:r w:rsidRPr="0027795B">
              <w:rPr>
                <w:b/>
                <w:bCs/>
                <w:sz w:val="21"/>
                <w:szCs w:val="21"/>
              </w:rPr>
              <w:t>50.0903</w:t>
            </w:r>
            <w:r w:rsidRPr="0027795B">
              <w:rPr>
                <w:b/>
                <w:bCs/>
                <w:color w:val="333333"/>
                <w:sz w:val="21"/>
                <w:szCs w:val="21"/>
              </w:rPr>
              <w:tab/>
              <w:t>Music Performance, General.</w:t>
            </w:r>
            <w:r w:rsidRPr="0027795B">
              <w:rPr>
                <w:b/>
                <w:bCs/>
                <w:color w:val="333333"/>
                <w:sz w:val="21"/>
                <w:szCs w:val="21"/>
              </w:rPr>
              <w:tab/>
              <w:t>27-2042</w:t>
            </w:r>
            <w:r w:rsidRPr="0027795B">
              <w:rPr>
                <w:b/>
                <w:bCs/>
                <w:color w:val="333333"/>
                <w:sz w:val="21"/>
                <w:szCs w:val="21"/>
              </w:rPr>
              <w:tab/>
              <w:t>Musicians and Singers</w:t>
            </w:r>
          </w:p>
          <w:p w14:paraId="7CA004CC" w14:textId="77777777" w:rsidR="009C03CB" w:rsidRPr="009C03CB" w:rsidRDefault="009C03CB" w:rsidP="00245FB5">
            <w:pPr>
              <w:rPr>
                <w:color w:val="FF0000"/>
                <w:sz w:val="22"/>
                <w:szCs w:val="24"/>
              </w:rPr>
            </w:pPr>
          </w:p>
        </w:tc>
      </w:tr>
      <w:tr w:rsidR="00CB43A9" w:rsidRPr="0085131D" w14:paraId="7F3CBE7E" w14:textId="77777777" w:rsidTr="00CB43A9">
        <w:trPr>
          <w:trHeight w:val="782"/>
        </w:trPr>
        <w:tc>
          <w:tcPr>
            <w:tcW w:w="10080" w:type="dxa"/>
          </w:tcPr>
          <w:p w14:paraId="6A2A3D11" w14:textId="77777777" w:rsidR="009C03CB" w:rsidRPr="00EE17CB" w:rsidRDefault="00CB43A9" w:rsidP="00F53CD9">
            <w:pPr>
              <w:jc w:val="both"/>
              <w:rPr>
                <w:color w:val="000000" w:themeColor="text1"/>
                <w:sz w:val="22"/>
                <w:szCs w:val="22"/>
              </w:rPr>
            </w:pPr>
            <w:r w:rsidRPr="00EE17CB">
              <w:rPr>
                <w:color w:val="000000" w:themeColor="text1"/>
                <w:sz w:val="22"/>
                <w:szCs w:val="22"/>
              </w:rPr>
              <w:t xml:space="preserve">4b. </w:t>
            </w:r>
            <w:r w:rsidRPr="00EE17CB">
              <w:rPr>
                <w:color w:val="000000" w:themeColor="text1"/>
                <w:sz w:val="22"/>
                <w:szCs w:val="22"/>
                <w:u w:val="single"/>
              </w:rPr>
              <w:t xml:space="preserve">Standard Occupational Classification (SOC) from </w:t>
            </w:r>
            <w:r w:rsidR="009C03CB" w:rsidRPr="00EE17CB">
              <w:rPr>
                <w:color w:val="000000" w:themeColor="text1"/>
                <w:sz w:val="22"/>
                <w:szCs w:val="22"/>
                <w:u w:val="single"/>
              </w:rPr>
              <w:t>Expert/Staff Opinion (optional)</w:t>
            </w:r>
            <w:r w:rsidR="009C03CB" w:rsidRPr="00EE17CB">
              <w:rPr>
                <w:color w:val="000000" w:themeColor="text1"/>
                <w:sz w:val="22"/>
                <w:szCs w:val="22"/>
              </w:rPr>
              <w:t xml:space="preserve">: If you think the standard NCES crosswalk accurately represents the list of occupations in which graduates of the proposed program will be qualified to work, leave this blank. If you think the list of target occupations is longer, shorter, or different, please provide an alternative list here, ranked in order of relevance. </w:t>
            </w:r>
            <w:r w:rsidR="00C634D7">
              <w:rPr>
                <w:color w:val="000000" w:themeColor="text1"/>
                <w:sz w:val="22"/>
                <w:szCs w:val="22"/>
              </w:rPr>
              <w:t>Feel free to add qualitative information about the variety of jobs and pay scales that may exist within target occupations, and where you expect graduates to fit in.</w:t>
            </w:r>
            <w:r w:rsidR="000237CF">
              <w:rPr>
                <w:color w:val="000000" w:themeColor="text1"/>
                <w:sz w:val="22"/>
                <w:szCs w:val="22"/>
              </w:rPr>
              <w:t xml:space="preserve"> </w:t>
            </w:r>
            <w:r w:rsidR="000237CF" w:rsidRPr="00CD1A3D">
              <w:rPr>
                <w:b/>
                <w:color w:val="000000" w:themeColor="text1"/>
                <w:sz w:val="22"/>
                <w:szCs w:val="22"/>
              </w:rPr>
              <w:t>(See Appendix A)</w:t>
            </w:r>
          </w:p>
          <w:p w14:paraId="71759DC6" w14:textId="77777777" w:rsidR="009C03CB" w:rsidRDefault="009C03CB" w:rsidP="00245FB5">
            <w:pPr>
              <w:rPr>
                <w:color w:val="FF0000"/>
                <w:sz w:val="22"/>
                <w:szCs w:val="22"/>
              </w:rPr>
            </w:pPr>
          </w:p>
          <w:p w14:paraId="4832A4A6" w14:textId="6297F933" w:rsidR="009C03CB" w:rsidRPr="004024D8" w:rsidRDefault="004024D8" w:rsidP="00245FB5">
            <w:pPr>
              <w:rPr>
                <w:b/>
                <w:bCs/>
                <w:color w:val="FF0000"/>
                <w:sz w:val="22"/>
                <w:szCs w:val="22"/>
              </w:rPr>
            </w:pPr>
            <w:r w:rsidRPr="004024D8">
              <w:rPr>
                <w:b/>
                <w:bCs/>
                <w:color w:val="FF0000"/>
                <w:sz w:val="22"/>
                <w:szCs w:val="22"/>
              </w:rPr>
              <w:t>Not Applicable</w:t>
            </w:r>
          </w:p>
          <w:p w14:paraId="59E3478C" w14:textId="77777777" w:rsidR="00CB43A9" w:rsidRPr="009C03CB" w:rsidRDefault="009C03CB" w:rsidP="00245FB5">
            <w:pPr>
              <w:rPr>
                <w:color w:val="FF0000"/>
                <w:sz w:val="22"/>
                <w:szCs w:val="22"/>
              </w:rPr>
            </w:pPr>
            <w:r>
              <w:rPr>
                <w:color w:val="FF0000"/>
                <w:sz w:val="22"/>
                <w:szCs w:val="22"/>
              </w:rPr>
              <w:t xml:space="preserve"> </w:t>
            </w:r>
          </w:p>
        </w:tc>
      </w:tr>
      <w:tr w:rsidR="0038149D" w:rsidRPr="0085131D" w14:paraId="3C88D06F" w14:textId="77777777" w:rsidTr="00796EF2">
        <w:tc>
          <w:tcPr>
            <w:tcW w:w="10080" w:type="dxa"/>
          </w:tcPr>
          <w:p w14:paraId="5864D28C" w14:textId="77777777" w:rsidR="00796EF2" w:rsidRPr="00796EF2" w:rsidRDefault="00796EF2" w:rsidP="0085131D">
            <w:pPr>
              <w:tabs>
                <w:tab w:val="left" w:pos="345"/>
              </w:tabs>
              <w:rPr>
                <w:sz w:val="10"/>
                <w:szCs w:val="10"/>
              </w:rPr>
            </w:pPr>
          </w:p>
          <w:p w14:paraId="2EEE188E" w14:textId="4073E8F9" w:rsidR="007C3AF8" w:rsidRDefault="00375698" w:rsidP="0085131D">
            <w:pPr>
              <w:tabs>
                <w:tab w:val="left" w:pos="345"/>
              </w:tabs>
              <w:rPr>
                <w:sz w:val="22"/>
                <w:szCs w:val="24"/>
              </w:rPr>
            </w:pPr>
            <w:r>
              <w:rPr>
                <w:sz w:val="22"/>
                <w:szCs w:val="24"/>
              </w:rPr>
              <w:t>5</w:t>
            </w:r>
            <w:r w:rsidR="0038149D" w:rsidRPr="00ED256A">
              <w:rPr>
                <w:sz w:val="22"/>
                <w:szCs w:val="24"/>
              </w:rPr>
              <w:t xml:space="preserve">.  </w:t>
            </w:r>
            <w:r w:rsidR="007C3AF8" w:rsidRPr="00ED256A">
              <w:rPr>
                <w:sz w:val="22"/>
                <w:szCs w:val="24"/>
                <w:u w:val="single"/>
              </w:rPr>
              <w:t>Brief Program Description</w:t>
            </w:r>
            <w:r w:rsidR="007C3AF8" w:rsidRPr="00ED256A">
              <w:rPr>
                <w:sz w:val="22"/>
                <w:szCs w:val="24"/>
              </w:rPr>
              <w:t xml:space="preserve"> – Describe the</w:t>
            </w:r>
            <w:r w:rsidR="00C634D7">
              <w:rPr>
                <w:sz w:val="22"/>
                <w:szCs w:val="24"/>
              </w:rPr>
              <w:t xml:space="preserve"> proposed</w:t>
            </w:r>
            <w:r w:rsidR="007C3AF8" w:rsidRPr="00ED256A">
              <w:rPr>
                <w:sz w:val="22"/>
                <w:szCs w:val="24"/>
              </w:rPr>
              <w:t xml:space="preserve"> program</w:t>
            </w:r>
            <w:r w:rsidR="00C634D7">
              <w:rPr>
                <w:sz w:val="22"/>
                <w:szCs w:val="24"/>
              </w:rPr>
              <w:t>, the costs and investments involved in implementing it, the students you expect to recruit into it,</w:t>
            </w:r>
            <w:r w:rsidR="007C3AF8" w:rsidRPr="00ED256A">
              <w:rPr>
                <w:sz w:val="22"/>
                <w:szCs w:val="24"/>
              </w:rPr>
              <w:t xml:space="preserve"> and </w:t>
            </w:r>
            <w:r w:rsidR="00C634D7">
              <w:rPr>
                <w:sz w:val="22"/>
                <w:szCs w:val="24"/>
              </w:rPr>
              <w:t>its</w:t>
            </w:r>
            <w:r w:rsidR="00C634D7" w:rsidRPr="00ED256A">
              <w:rPr>
                <w:sz w:val="22"/>
                <w:szCs w:val="24"/>
              </w:rPr>
              <w:t xml:space="preserve"> </w:t>
            </w:r>
            <w:r w:rsidR="007C3AF8" w:rsidRPr="00ED256A">
              <w:rPr>
                <w:sz w:val="22"/>
                <w:szCs w:val="24"/>
              </w:rPr>
              <w:t>educational objectives</w:t>
            </w:r>
            <w:r w:rsidR="00C634D7">
              <w:rPr>
                <w:sz w:val="22"/>
                <w:szCs w:val="24"/>
              </w:rPr>
              <w:t>.</w:t>
            </w:r>
          </w:p>
          <w:p w14:paraId="39BD6E2D" w14:textId="333891DC" w:rsidR="00693F63" w:rsidRDefault="00693F63" w:rsidP="0085131D">
            <w:pPr>
              <w:tabs>
                <w:tab w:val="left" w:pos="345"/>
              </w:tabs>
              <w:rPr>
                <w:sz w:val="22"/>
                <w:szCs w:val="24"/>
              </w:rPr>
            </w:pPr>
          </w:p>
          <w:p w14:paraId="2AC110C8" w14:textId="0A8C3A09" w:rsidR="00693F63" w:rsidRPr="00AF5DE8" w:rsidRDefault="00693F63" w:rsidP="00693F63">
            <w:pPr>
              <w:ind w:left="360"/>
            </w:pPr>
            <w:r w:rsidRPr="6AABE24A">
              <w:t xml:space="preserve">The expansion of graduate education is one of the guiding priorities of the University of Arkansas’ strategic plan, for the university recognizes that graduate education plays a critical role in a research university and is key to the university’s impact on economic development. It is within this context that the Department of Music proposes a Doctor of Musical Arts degree program in </w:t>
            </w:r>
            <w:r w:rsidR="003814B9">
              <w:t xml:space="preserve">Music with a concentration in </w:t>
            </w:r>
            <w:r w:rsidRPr="6AABE24A">
              <w:t xml:space="preserve">Conducting. No such degree program exists in the state of Arkansas. </w:t>
            </w:r>
          </w:p>
          <w:p w14:paraId="4BAD8F8A" w14:textId="77777777" w:rsidR="00693F63" w:rsidRPr="00CF5799" w:rsidRDefault="00693F63" w:rsidP="00693F63">
            <w:pPr>
              <w:ind w:left="360"/>
              <w:rPr>
                <w:color w:val="000000" w:themeColor="text1"/>
              </w:rPr>
            </w:pPr>
          </w:p>
          <w:p w14:paraId="5C687487" w14:textId="77777777" w:rsidR="00693F63" w:rsidRPr="00CF5799" w:rsidRDefault="00693F63" w:rsidP="00693F63">
            <w:pPr>
              <w:ind w:left="360"/>
              <w:rPr>
                <w:color w:val="000000" w:themeColor="text1"/>
              </w:rPr>
            </w:pPr>
            <w:r w:rsidRPr="6AABE24A">
              <w:rPr>
                <w:color w:val="000000" w:themeColor="text1"/>
              </w:rPr>
              <w:lastRenderedPageBreak/>
              <w:t xml:space="preserve">We will prepare students for university music positions in conducting. As such, our program will give students the interdisciplinary training and robust work experiences that they will need to thrive in industries that value traditional music literacy, creativity, communication, collaboration, research, technology, repertoire and concert planning, and other skills. As a faculty, we are committed to thinking about music and creative practice in a global context. </w:t>
            </w:r>
          </w:p>
          <w:p w14:paraId="2E4B3F41" w14:textId="77777777" w:rsidR="00693F63" w:rsidRPr="00CF5799" w:rsidRDefault="00693F63" w:rsidP="00693F63">
            <w:pPr>
              <w:ind w:left="360"/>
              <w:rPr>
                <w:color w:val="000000" w:themeColor="text1"/>
              </w:rPr>
            </w:pPr>
          </w:p>
          <w:p w14:paraId="17C65CC9" w14:textId="52B10372" w:rsidR="00693F63" w:rsidRDefault="00693F63" w:rsidP="00693F63">
            <w:pPr>
              <w:ind w:left="360"/>
              <w:rPr>
                <w:color w:val="000000" w:themeColor="text1"/>
              </w:rPr>
            </w:pPr>
            <w:r w:rsidRPr="6AABE24A">
              <w:rPr>
                <w:color w:val="000000" w:themeColor="text1"/>
              </w:rPr>
              <w:t xml:space="preserve">This program includes new courses specific to the subject matter along with multiple existing courses. Several courses that currently exist in the Department of Music will be adapted for graduate study, or subject matter inclusion. Faculty for the program include full-time and part-time Department of Music faculty. Additional information on library resources and facilities is explained in the sections below. </w:t>
            </w:r>
          </w:p>
          <w:p w14:paraId="6BDE0068" w14:textId="3EC2875F" w:rsidR="00693F63" w:rsidRDefault="00693F63" w:rsidP="00693F63">
            <w:pPr>
              <w:ind w:left="360"/>
              <w:rPr>
                <w:color w:val="000000" w:themeColor="text1"/>
              </w:rPr>
            </w:pPr>
          </w:p>
          <w:p w14:paraId="47D02F70" w14:textId="4E594822" w:rsidR="00693F63" w:rsidRDefault="00693F63" w:rsidP="00693F63">
            <w:pPr>
              <w:ind w:left="360"/>
              <w:rPr>
                <w:color w:val="000000" w:themeColor="text1"/>
              </w:rPr>
            </w:pPr>
            <w:r>
              <w:rPr>
                <w:color w:val="000000" w:themeColor="text1"/>
              </w:rPr>
              <w:t xml:space="preserve">There are no new costs associated with the degree, except potential future Graduate Assistantship support. The recruitment pool would be practicing music educators or choral/instrumental/orchestra; conductors who already possess a master’s degree or equivalent in conducting. </w:t>
            </w:r>
          </w:p>
          <w:p w14:paraId="52312B46" w14:textId="4355FDFD" w:rsidR="00693F63" w:rsidRDefault="00693F63" w:rsidP="00693F63">
            <w:pPr>
              <w:ind w:left="360"/>
              <w:rPr>
                <w:color w:val="000000" w:themeColor="text1"/>
              </w:rPr>
            </w:pPr>
          </w:p>
          <w:p w14:paraId="526AA554" w14:textId="77777777" w:rsidR="006F2EA2" w:rsidRPr="006F2EA2" w:rsidRDefault="006F2EA2" w:rsidP="006F2EA2">
            <w:pPr>
              <w:ind w:left="360"/>
              <w:rPr>
                <w:color w:val="000000" w:themeColor="text1"/>
              </w:rPr>
            </w:pPr>
            <w:r w:rsidRPr="006F2EA2">
              <w:rPr>
                <w:color w:val="000000" w:themeColor="text1"/>
              </w:rPr>
              <w:t>Learning Outcomes:</w:t>
            </w:r>
          </w:p>
          <w:p w14:paraId="60555969" w14:textId="77777777" w:rsidR="006F2EA2" w:rsidRPr="006F2EA2" w:rsidRDefault="006F2EA2" w:rsidP="006F2EA2">
            <w:pPr>
              <w:ind w:left="360"/>
              <w:rPr>
                <w:color w:val="000000" w:themeColor="text1"/>
              </w:rPr>
            </w:pPr>
          </w:p>
          <w:p w14:paraId="4553FF70" w14:textId="77777777" w:rsidR="006F2EA2" w:rsidRPr="006F2EA2" w:rsidRDefault="006F2EA2" w:rsidP="006F2EA2">
            <w:pPr>
              <w:ind w:left="360"/>
              <w:rPr>
                <w:color w:val="000000" w:themeColor="text1"/>
              </w:rPr>
            </w:pPr>
            <w:r w:rsidRPr="006F2EA2">
              <w:rPr>
                <w:color w:val="000000" w:themeColor="text1"/>
              </w:rPr>
              <w:t>•</w:t>
            </w:r>
            <w:r w:rsidRPr="006F2EA2">
              <w:rPr>
                <w:color w:val="000000" w:themeColor="text1"/>
              </w:rPr>
              <w:tab/>
              <w:t>Develop conducting skills at the highest professional level, using creative and critical thinking to inform stylistic choices and artistic expression, while demonstrating appropriate spontaneity, and will communicate their artistry to diverse audiences; in addition, students will demonstrate effective, musical, and efficient rehearsal techniques.</w:t>
            </w:r>
          </w:p>
          <w:p w14:paraId="427B53EA" w14:textId="77777777" w:rsidR="006F2EA2" w:rsidRPr="006F2EA2" w:rsidRDefault="006F2EA2" w:rsidP="006F2EA2">
            <w:pPr>
              <w:ind w:left="360"/>
              <w:rPr>
                <w:color w:val="000000" w:themeColor="text1"/>
              </w:rPr>
            </w:pPr>
            <w:r w:rsidRPr="006F2EA2">
              <w:rPr>
                <w:color w:val="000000" w:themeColor="text1"/>
              </w:rPr>
              <w:t>•</w:t>
            </w:r>
            <w:r w:rsidRPr="006F2EA2">
              <w:rPr>
                <w:color w:val="000000" w:themeColor="text1"/>
              </w:rPr>
              <w:tab/>
              <w:t>Develop a secondary area of expertise to demonstrate discipline-related breadth at an advanced level, and/or the acquisition of new professional skills.</w:t>
            </w:r>
          </w:p>
          <w:p w14:paraId="104F04E3" w14:textId="77777777" w:rsidR="006F2EA2" w:rsidRPr="006F2EA2" w:rsidRDefault="006F2EA2" w:rsidP="006F2EA2">
            <w:pPr>
              <w:ind w:left="360"/>
              <w:rPr>
                <w:color w:val="000000" w:themeColor="text1"/>
              </w:rPr>
            </w:pPr>
            <w:r w:rsidRPr="006F2EA2">
              <w:rPr>
                <w:color w:val="000000" w:themeColor="text1"/>
              </w:rPr>
              <w:t>•</w:t>
            </w:r>
            <w:r w:rsidRPr="006F2EA2">
              <w:rPr>
                <w:color w:val="000000" w:themeColor="text1"/>
              </w:rPr>
              <w:tab/>
              <w:t>Demonstrate an ability to summarize, synthesize and critique disciplinary content in relation to their major and secondary (cognate) areas of study; in the major area, students will demonstrate a thorough knowledge of the core repertoire.</w:t>
            </w:r>
          </w:p>
          <w:p w14:paraId="427B39E1" w14:textId="77777777" w:rsidR="006F2EA2" w:rsidRPr="006F2EA2" w:rsidRDefault="006F2EA2" w:rsidP="006F2EA2">
            <w:pPr>
              <w:ind w:left="360"/>
              <w:rPr>
                <w:color w:val="000000" w:themeColor="text1"/>
              </w:rPr>
            </w:pPr>
            <w:r w:rsidRPr="006F2EA2">
              <w:rPr>
                <w:color w:val="000000" w:themeColor="text1"/>
              </w:rPr>
              <w:t>•</w:t>
            </w:r>
            <w:r w:rsidRPr="006F2EA2">
              <w:rPr>
                <w:color w:val="000000" w:themeColor="text1"/>
              </w:rPr>
              <w:tab/>
              <w:t>Demonstrate effective analytical and interpretative skills in music theory, musicology and/or performance practice, as well as an ability to communicate an advanced understanding and evaluation of musical knowledge and ideas in written and/or oral forms.</w:t>
            </w:r>
          </w:p>
          <w:p w14:paraId="0C68362C" w14:textId="77777777" w:rsidR="006F2EA2" w:rsidRPr="006F2EA2" w:rsidRDefault="006F2EA2" w:rsidP="006F2EA2">
            <w:pPr>
              <w:ind w:left="360"/>
              <w:rPr>
                <w:color w:val="000000" w:themeColor="text1"/>
              </w:rPr>
            </w:pPr>
            <w:r w:rsidRPr="006F2EA2">
              <w:rPr>
                <w:color w:val="000000" w:themeColor="text1"/>
              </w:rPr>
              <w:t>•</w:t>
            </w:r>
            <w:r w:rsidRPr="006F2EA2">
              <w:rPr>
                <w:color w:val="000000" w:themeColor="text1"/>
              </w:rPr>
              <w:tab/>
              <w:t>Pursue specialized studies, to develop expertise and an ability to synthesize knowledge in areas of interest that enhance their required curriculum and/or professional goals.</w:t>
            </w:r>
          </w:p>
          <w:p w14:paraId="14F2E9C3" w14:textId="77777777" w:rsidR="006F2EA2" w:rsidRPr="006F2EA2" w:rsidRDefault="006F2EA2" w:rsidP="006F2EA2">
            <w:pPr>
              <w:ind w:left="360"/>
              <w:rPr>
                <w:color w:val="000000" w:themeColor="text1"/>
              </w:rPr>
            </w:pPr>
            <w:r w:rsidRPr="006F2EA2">
              <w:rPr>
                <w:color w:val="000000" w:themeColor="text1"/>
              </w:rPr>
              <w:t>•</w:t>
            </w:r>
            <w:r w:rsidRPr="006F2EA2">
              <w:rPr>
                <w:color w:val="000000" w:themeColor="text1"/>
              </w:rPr>
              <w:tab/>
              <w:t>Utilize and apply appropriate research methods to explore a focused research topic and to contribute original perspectives to discipline-related knowledge, communicating their research findings clearly and professionally in written, oral, and performative forms.</w:t>
            </w:r>
          </w:p>
          <w:p w14:paraId="45FEA506" w14:textId="77777777" w:rsidR="006F2EA2" w:rsidRPr="006F2EA2" w:rsidRDefault="006F2EA2" w:rsidP="006F2EA2">
            <w:pPr>
              <w:ind w:left="360"/>
              <w:rPr>
                <w:color w:val="000000" w:themeColor="text1"/>
              </w:rPr>
            </w:pPr>
            <w:r w:rsidRPr="006F2EA2">
              <w:rPr>
                <w:color w:val="000000" w:themeColor="text1"/>
              </w:rPr>
              <w:t>•</w:t>
            </w:r>
            <w:r w:rsidRPr="006F2EA2">
              <w:rPr>
                <w:color w:val="000000" w:themeColor="text1"/>
              </w:rPr>
              <w:tab/>
              <w:t xml:space="preserve">Demonstrate leadership and administrative skills necessary to leading a collegiate level </w:t>
            </w:r>
          </w:p>
          <w:p w14:paraId="550DA015" w14:textId="77777777" w:rsidR="006F2EA2" w:rsidRPr="006F2EA2" w:rsidRDefault="006F2EA2" w:rsidP="006F2EA2">
            <w:pPr>
              <w:ind w:left="360"/>
              <w:rPr>
                <w:color w:val="000000" w:themeColor="text1"/>
              </w:rPr>
            </w:pPr>
            <w:r w:rsidRPr="006F2EA2">
              <w:rPr>
                <w:color w:val="000000" w:themeColor="text1"/>
              </w:rPr>
              <w:t>•</w:t>
            </w:r>
            <w:r w:rsidRPr="006F2EA2">
              <w:rPr>
                <w:color w:val="000000" w:themeColor="text1"/>
              </w:rPr>
              <w:tab/>
              <w:t>Develop preliminary research skills to effectively study and present topics related to conducting and related topics</w:t>
            </w:r>
          </w:p>
          <w:p w14:paraId="6BE6FC8B" w14:textId="7B400173" w:rsidR="009C03CB" w:rsidRPr="004024D8" w:rsidRDefault="006F2EA2" w:rsidP="004024D8">
            <w:pPr>
              <w:ind w:left="360"/>
              <w:rPr>
                <w:color w:val="000000" w:themeColor="text1"/>
              </w:rPr>
            </w:pPr>
            <w:r w:rsidRPr="006F2EA2">
              <w:rPr>
                <w:color w:val="000000" w:themeColor="text1"/>
              </w:rPr>
              <w:t>•</w:t>
            </w:r>
            <w:r w:rsidRPr="006F2EA2">
              <w:rPr>
                <w:color w:val="000000" w:themeColor="text1"/>
              </w:rPr>
              <w:tab/>
              <w:t>In addition, many DMA students will develop experience and expertise in instruction, pedagogy, and student assessment in at least one area of musical study, also gaining insights into rehearsal strategies for large ensemble in the major area, and appropriate methods of student evaluation.</w:t>
            </w:r>
          </w:p>
          <w:p w14:paraId="17734773" w14:textId="77777777" w:rsidR="009C03CB" w:rsidRPr="00ED256A" w:rsidRDefault="009C03CB" w:rsidP="00803BAE">
            <w:pPr>
              <w:tabs>
                <w:tab w:val="left" w:pos="345"/>
              </w:tabs>
              <w:rPr>
                <w:sz w:val="22"/>
                <w:szCs w:val="24"/>
              </w:rPr>
            </w:pPr>
          </w:p>
        </w:tc>
      </w:tr>
      <w:tr w:rsidR="00375698" w:rsidRPr="00375698" w14:paraId="20237B7D" w14:textId="77777777" w:rsidTr="00796EF2">
        <w:tc>
          <w:tcPr>
            <w:tcW w:w="10080" w:type="dxa"/>
          </w:tcPr>
          <w:p w14:paraId="67B0FB01" w14:textId="77777777" w:rsidR="00375698" w:rsidRPr="004024D8" w:rsidRDefault="00375698" w:rsidP="00F53CD9">
            <w:pPr>
              <w:tabs>
                <w:tab w:val="left" w:pos="345"/>
              </w:tabs>
              <w:jc w:val="both"/>
              <w:rPr>
                <w:b/>
                <w:bCs/>
                <w:color w:val="FF0000"/>
                <w:sz w:val="22"/>
                <w:szCs w:val="10"/>
              </w:rPr>
            </w:pPr>
            <w:r w:rsidRPr="004024D8">
              <w:rPr>
                <w:b/>
                <w:bCs/>
                <w:sz w:val="22"/>
                <w:szCs w:val="10"/>
              </w:rPr>
              <w:lastRenderedPageBreak/>
              <w:t xml:space="preserve">6. </w:t>
            </w:r>
            <w:hyperlink r:id="rId11" w:history="1">
              <w:r w:rsidRPr="004024D8">
                <w:rPr>
                  <w:rStyle w:val="Hyperlink"/>
                  <w:b/>
                  <w:bCs/>
                  <w:sz w:val="22"/>
                  <w:szCs w:val="10"/>
                </w:rPr>
                <w:t>North American Industry Classification System (NAICS)</w:t>
              </w:r>
            </w:hyperlink>
            <w:r w:rsidR="009C03CB" w:rsidRPr="004024D8">
              <w:rPr>
                <w:b/>
                <w:bCs/>
                <w:color w:val="000000" w:themeColor="text1"/>
                <w:sz w:val="22"/>
                <w:szCs w:val="10"/>
              </w:rPr>
              <w:t xml:space="preserve"> – List some</w:t>
            </w:r>
            <w:r w:rsidRPr="004024D8">
              <w:rPr>
                <w:b/>
                <w:bCs/>
                <w:color w:val="000000" w:themeColor="text1"/>
                <w:sz w:val="22"/>
                <w:szCs w:val="10"/>
              </w:rPr>
              <w:t xml:space="preserve"> industries</w:t>
            </w:r>
            <w:r w:rsidR="00C634D7" w:rsidRPr="004024D8">
              <w:rPr>
                <w:b/>
                <w:bCs/>
                <w:color w:val="000000" w:themeColor="text1"/>
                <w:sz w:val="22"/>
                <w:szCs w:val="10"/>
              </w:rPr>
              <w:t xml:space="preserve"> and/or companies</w:t>
            </w:r>
            <w:r w:rsidRPr="004024D8">
              <w:rPr>
                <w:b/>
                <w:bCs/>
                <w:color w:val="000000" w:themeColor="text1"/>
                <w:sz w:val="22"/>
                <w:szCs w:val="10"/>
              </w:rPr>
              <w:t xml:space="preserve"> which graduates would be most </w:t>
            </w:r>
            <w:r w:rsidR="009C03CB" w:rsidRPr="004024D8">
              <w:rPr>
                <w:b/>
                <w:bCs/>
                <w:color w:val="000000" w:themeColor="text1"/>
                <w:sz w:val="22"/>
                <w:szCs w:val="10"/>
              </w:rPr>
              <w:t>likely and/or qualified</w:t>
            </w:r>
            <w:r w:rsidRPr="004024D8">
              <w:rPr>
                <w:b/>
                <w:bCs/>
                <w:color w:val="000000" w:themeColor="text1"/>
                <w:sz w:val="22"/>
                <w:szCs w:val="10"/>
              </w:rPr>
              <w:t xml:space="preserve"> to work in</w:t>
            </w:r>
            <w:r w:rsidR="009C03CB" w:rsidRPr="004024D8">
              <w:rPr>
                <w:b/>
                <w:bCs/>
                <w:color w:val="000000" w:themeColor="text1"/>
                <w:sz w:val="22"/>
                <w:szCs w:val="10"/>
              </w:rPr>
              <w:t xml:space="preserve"> (optional), and feel free to comment on why/in what capacity</w:t>
            </w:r>
            <w:r w:rsidR="00C634D7" w:rsidRPr="004024D8">
              <w:rPr>
                <w:b/>
                <w:bCs/>
                <w:color w:val="000000" w:themeColor="text1"/>
                <w:sz w:val="22"/>
                <w:szCs w:val="10"/>
              </w:rPr>
              <w:t>. Also, a description of the target industry in your region, its relative strength or weakness relative to other regions, and the reasons for that relative strength or weakness, is welcome.</w:t>
            </w:r>
            <w:r w:rsidRPr="004024D8">
              <w:rPr>
                <w:b/>
                <w:bCs/>
                <w:color w:val="000000" w:themeColor="text1"/>
                <w:sz w:val="22"/>
                <w:szCs w:val="10"/>
              </w:rPr>
              <w:t xml:space="preserve"> </w:t>
            </w:r>
            <w:hyperlink r:id="rId12" w:history="1">
              <w:r w:rsidR="00B22F8E" w:rsidRPr="004024D8">
                <w:rPr>
                  <w:rStyle w:val="Hyperlink"/>
                  <w:b/>
                  <w:bCs/>
                  <w:sz w:val="22"/>
                  <w:szCs w:val="10"/>
                </w:rPr>
                <w:t>Lookup NAICS Code</w:t>
              </w:r>
            </w:hyperlink>
            <w:r w:rsidR="00B22F8E" w:rsidRPr="004024D8">
              <w:rPr>
                <w:b/>
                <w:bCs/>
                <w:color w:val="000000" w:themeColor="text1"/>
                <w:sz w:val="22"/>
                <w:szCs w:val="10"/>
              </w:rPr>
              <w:t xml:space="preserve"> </w:t>
            </w:r>
          </w:p>
          <w:p w14:paraId="0B9A368C" w14:textId="5ED22CD8" w:rsidR="00375698" w:rsidRPr="004024D8" w:rsidRDefault="00375698" w:rsidP="0085131D">
            <w:pPr>
              <w:tabs>
                <w:tab w:val="left" w:pos="345"/>
              </w:tabs>
              <w:rPr>
                <w:b/>
                <w:bCs/>
                <w:sz w:val="22"/>
                <w:szCs w:val="10"/>
              </w:rPr>
            </w:pPr>
          </w:p>
          <w:p w14:paraId="4280289E" w14:textId="77777777" w:rsidR="006F2EA2" w:rsidRPr="004024D8" w:rsidRDefault="006F2EA2" w:rsidP="006F2EA2">
            <w:pPr>
              <w:pStyle w:val="Heading4"/>
              <w:shd w:val="clear" w:color="auto" w:fill="FFFFFF"/>
              <w:rPr>
                <w:rFonts w:ascii="Roboto" w:hAnsi="Roboto" w:cs="Times New Roman"/>
                <w:b/>
                <w:bCs/>
                <w:color w:val="112E51"/>
              </w:rPr>
            </w:pPr>
            <w:r w:rsidRPr="004024D8">
              <w:rPr>
                <w:rFonts w:ascii="Roboto" w:hAnsi="Roboto"/>
                <w:b/>
                <w:bCs/>
                <w:color w:val="112E51"/>
              </w:rPr>
              <w:t>611310 Colleges, Universities, and Professional Schools</w:t>
            </w:r>
          </w:p>
          <w:p w14:paraId="49A30592" w14:textId="77777777" w:rsidR="006F2EA2" w:rsidRPr="004024D8" w:rsidRDefault="006F2EA2" w:rsidP="006F2EA2">
            <w:pPr>
              <w:pStyle w:val="results-details-desc"/>
              <w:shd w:val="clear" w:color="auto" w:fill="FFFFFF"/>
              <w:rPr>
                <w:rFonts w:ascii="Roboto" w:hAnsi="Roboto"/>
                <w:b/>
                <w:bCs/>
                <w:color w:val="333333"/>
              </w:rPr>
            </w:pPr>
            <w:r w:rsidRPr="004024D8">
              <w:rPr>
                <w:rFonts w:ascii="Roboto" w:hAnsi="Roboto"/>
                <w:b/>
                <w:bCs/>
                <w:color w:val="333333"/>
              </w:rPr>
              <w:t>This industry comprises establishments primarily engaged in furnishing academic courses and granting degrees at baccalaureate or graduate levels. The requirement for admission is at least a high school diploma or equivalent general academic training. Instruction may be provided in diverse settings, such as the establishment's or client's training facilities, educational institutions, the workplace, or the home, and through diverse means, such as correspondence, television, the Internet, or other electronic and distance-learning methods. The training provided by these establishments may include the use of simulators and simulation methods.</w:t>
            </w:r>
          </w:p>
          <w:p w14:paraId="0E199985" w14:textId="77777777" w:rsidR="006F2EA2" w:rsidRPr="004024D8" w:rsidRDefault="006F2EA2" w:rsidP="006F2EA2">
            <w:pPr>
              <w:pStyle w:val="results-details-desc"/>
              <w:shd w:val="clear" w:color="auto" w:fill="FFFFFF"/>
              <w:rPr>
                <w:rFonts w:ascii="Roboto" w:hAnsi="Roboto"/>
                <w:b/>
                <w:bCs/>
                <w:color w:val="333333"/>
              </w:rPr>
            </w:pPr>
            <w:r w:rsidRPr="004024D8">
              <w:rPr>
                <w:rFonts w:ascii="Roboto" w:hAnsi="Roboto"/>
                <w:b/>
                <w:bCs/>
                <w:color w:val="333333"/>
              </w:rPr>
              <w:lastRenderedPageBreak/>
              <w:br/>
              <w:t>Illustrative Examples:</w:t>
            </w:r>
          </w:p>
          <w:p w14:paraId="072330E0" w14:textId="77777777" w:rsidR="006F2EA2" w:rsidRPr="004024D8" w:rsidRDefault="006F2EA2" w:rsidP="006F2EA2">
            <w:pPr>
              <w:rPr>
                <w:rFonts w:ascii="Times New Roman" w:hAnsi="Times New Roman"/>
                <w:b/>
                <w:bCs/>
              </w:rPr>
            </w:pPr>
            <w:r w:rsidRPr="004024D8">
              <w:rPr>
                <w:rFonts w:ascii="Roboto" w:hAnsi="Roboto"/>
                <w:b/>
                <w:bCs/>
                <w:color w:val="333333"/>
                <w:shd w:val="clear" w:color="auto" w:fill="FFFFFF"/>
              </w:rPr>
              <w:t>Colleges (except junior colleges)</w:t>
            </w:r>
            <w:r w:rsidRPr="004024D8">
              <w:rPr>
                <w:rFonts w:ascii="Roboto" w:hAnsi="Roboto"/>
                <w:b/>
                <w:bCs/>
                <w:color w:val="333333"/>
              </w:rPr>
              <w:br/>
            </w:r>
            <w:r w:rsidRPr="004024D8">
              <w:rPr>
                <w:rFonts w:ascii="Roboto" w:hAnsi="Roboto"/>
                <w:b/>
                <w:bCs/>
                <w:color w:val="333333"/>
                <w:shd w:val="clear" w:color="auto" w:fill="FFFFFF"/>
              </w:rPr>
              <w:t>Theological seminaries offering baccalaureate or graduate degrees</w:t>
            </w:r>
            <w:r w:rsidRPr="004024D8">
              <w:rPr>
                <w:rFonts w:ascii="Roboto" w:hAnsi="Roboto"/>
                <w:b/>
                <w:bCs/>
                <w:color w:val="333333"/>
              </w:rPr>
              <w:br/>
            </w:r>
            <w:r w:rsidRPr="004024D8">
              <w:rPr>
                <w:rFonts w:ascii="Roboto" w:hAnsi="Roboto"/>
                <w:b/>
                <w:bCs/>
                <w:color w:val="333333"/>
                <w:shd w:val="clear" w:color="auto" w:fill="FFFFFF"/>
              </w:rPr>
              <w:t>Military academies, college-level</w:t>
            </w:r>
            <w:r w:rsidRPr="004024D8">
              <w:rPr>
                <w:rFonts w:ascii="Roboto" w:hAnsi="Roboto"/>
                <w:b/>
                <w:bCs/>
                <w:color w:val="333333"/>
              </w:rPr>
              <w:br/>
            </w:r>
            <w:r w:rsidRPr="004024D8">
              <w:rPr>
                <w:rFonts w:ascii="Roboto" w:hAnsi="Roboto"/>
                <w:b/>
                <w:bCs/>
                <w:color w:val="333333"/>
                <w:shd w:val="clear" w:color="auto" w:fill="FFFFFF"/>
              </w:rPr>
              <w:t>Universities</w:t>
            </w:r>
            <w:r w:rsidRPr="004024D8">
              <w:rPr>
                <w:rFonts w:ascii="Roboto" w:hAnsi="Roboto"/>
                <w:b/>
                <w:bCs/>
                <w:color w:val="333333"/>
              </w:rPr>
              <w:br/>
            </w:r>
            <w:r w:rsidRPr="004024D8">
              <w:rPr>
                <w:rFonts w:ascii="Roboto" w:hAnsi="Roboto"/>
                <w:b/>
                <w:bCs/>
                <w:color w:val="333333"/>
                <w:shd w:val="clear" w:color="auto" w:fill="FFFFFF"/>
              </w:rPr>
              <w:t>Professional schools (e.g., business administration, dental, law, medical)</w:t>
            </w:r>
          </w:p>
          <w:p w14:paraId="400F4218" w14:textId="77777777" w:rsidR="006F2EA2" w:rsidRPr="004024D8" w:rsidRDefault="006F2EA2" w:rsidP="0085131D">
            <w:pPr>
              <w:tabs>
                <w:tab w:val="left" w:pos="345"/>
              </w:tabs>
              <w:rPr>
                <w:b/>
                <w:bCs/>
                <w:sz w:val="22"/>
                <w:szCs w:val="10"/>
              </w:rPr>
            </w:pPr>
          </w:p>
          <w:p w14:paraId="362B62E4" w14:textId="77777777" w:rsidR="009C03CB" w:rsidRPr="004024D8" w:rsidRDefault="009C03CB" w:rsidP="0085131D">
            <w:pPr>
              <w:tabs>
                <w:tab w:val="left" w:pos="345"/>
              </w:tabs>
              <w:rPr>
                <w:b/>
                <w:bCs/>
                <w:sz w:val="22"/>
                <w:szCs w:val="10"/>
              </w:rPr>
            </w:pPr>
          </w:p>
          <w:p w14:paraId="397D89FD" w14:textId="77777777" w:rsidR="009C03CB" w:rsidRPr="004024D8" w:rsidRDefault="009C03CB" w:rsidP="0085131D">
            <w:pPr>
              <w:tabs>
                <w:tab w:val="left" w:pos="345"/>
              </w:tabs>
              <w:rPr>
                <w:b/>
                <w:bCs/>
                <w:sz w:val="22"/>
                <w:szCs w:val="10"/>
              </w:rPr>
            </w:pPr>
          </w:p>
        </w:tc>
      </w:tr>
      <w:tr w:rsidR="00EE31C5" w:rsidRPr="0085131D" w14:paraId="5DF1BA47" w14:textId="77777777" w:rsidTr="00796EF2">
        <w:tc>
          <w:tcPr>
            <w:tcW w:w="10080" w:type="dxa"/>
          </w:tcPr>
          <w:p w14:paraId="0C453651" w14:textId="77777777" w:rsidR="00EE31C5" w:rsidRDefault="00EE31C5" w:rsidP="00F53CD9">
            <w:pPr>
              <w:tabs>
                <w:tab w:val="left" w:pos="345"/>
              </w:tabs>
              <w:jc w:val="both"/>
              <w:rPr>
                <w:sz w:val="10"/>
                <w:szCs w:val="10"/>
              </w:rPr>
            </w:pPr>
          </w:p>
          <w:p w14:paraId="564174FA" w14:textId="00D53006" w:rsidR="009C03CB" w:rsidRDefault="00375698" w:rsidP="00F53CD9">
            <w:pPr>
              <w:tabs>
                <w:tab w:val="left" w:pos="345"/>
              </w:tabs>
              <w:jc w:val="both"/>
              <w:rPr>
                <w:sz w:val="22"/>
                <w:szCs w:val="24"/>
              </w:rPr>
            </w:pPr>
            <w:r>
              <w:rPr>
                <w:sz w:val="22"/>
                <w:szCs w:val="24"/>
              </w:rPr>
              <w:t>7</w:t>
            </w:r>
            <w:r w:rsidR="00EE31C5" w:rsidRPr="00ED256A">
              <w:rPr>
                <w:sz w:val="22"/>
                <w:szCs w:val="24"/>
              </w:rPr>
              <w:t xml:space="preserve">.  </w:t>
            </w:r>
            <w:r w:rsidR="00C53BEB">
              <w:rPr>
                <w:sz w:val="22"/>
                <w:szCs w:val="24"/>
                <w:u w:val="single"/>
              </w:rPr>
              <w:t>Region of Possible Position</w:t>
            </w:r>
            <w:r w:rsidR="004A51FD">
              <w:rPr>
                <w:sz w:val="22"/>
                <w:szCs w:val="24"/>
                <w:u w:val="single"/>
              </w:rPr>
              <w:t>(s)</w:t>
            </w:r>
            <w:r w:rsidR="00622FB8">
              <w:rPr>
                <w:sz w:val="22"/>
                <w:szCs w:val="24"/>
              </w:rPr>
              <w:t xml:space="preserve"> – Describe the </w:t>
            </w:r>
            <w:r w:rsidR="009C03CB">
              <w:rPr>
                <w:sz w:val="22"/>
                <w:szCs w:val="24"/>
              </w:rPr>
              <w:t>region</w:t>
            </w:r>
            <w:r w:rsidR="00622FB8">
              <w:rPr>
                <w:sz w:val="22"/>
                <w:szCs w:val="24"/>
              </w:rPr>
              <w:t xml:space="preserve"> where</w:t>
            </w:r>
            <w:r w:rsidR="009C03CB">
              <w:rPr>
                <w:sz w:val="22"/>
                <w:szCs w:val="24"/>
              </w:rPr>
              <w:t xml:space="preserve"> you think</w:t>
            </w:r>
            <w:r w:rsidR="00622FB8">
              <w:rPr>
                <w:sz w:val="22"/>
                <w:szCs w:val="24"/>
              </w:rPr>
              <w:t xml:space="preserve"> graduates </w:t>
            </w:r>
            <w:r w:rsidR="009C03CB">
              <w:rPr>
                <w:sz w:val="22"/>
                <w:szCs w:val="24"/>
              </w:rPr>
              <w:t>are most likely to</w:t>
            </w:r>
            <w:r w:rsidR="00622FB8">
              <w:rPr>
                <w:sz w:val="22"/>
                <w:szCs w:val="24"/>
              </w:rPr>
              <w:t xml:space="preserve"> work</w:t>
            </w:r>
            <w:r w:rsidR="009C03CB">
              <w:rPr>
                <w:sz w:val="22"/>
                <w:szCs w:val="24"/>
              </w:rPr>
              <w:t>, e.g., in terms of a list of counties, a metropolitan statistical area, or a commuting radius</w:t>
            </w:r>
            <w:r w:rsidR="00622FB8">
              <w:rPr>
                <w:sz w:val="22"/>
                <w:szCs w:val="24"/>
              </w:rPr>
              <w:t>:</w:t>
            </w:r>
          </w:p>
          <w:p w14:paraId="0D9FFFEB" w14:textId="4E299484" w:rsidR="00693F63" w:rsidRDefault="00693F63" w:rsidP="00F53CD9">
            <w:pPr>
              <w:tabs>
                <w:tab w:val="left" w:pos="345"/>
              </w:tabs>
              <w:jc w:val="both"/>
              <w:rPr>
                <w:sz w:val="22"/>
                <w:szCs w:val="24"/>
              </w:rPr>
            </w:pPr>
          </w:p>
          <w:p w14:paraId="2C336F7F" w14:textId="77004ADF" w:rsidR="00693F63" w:rsidRPr="004024D8" w:rsidRDefault="00693F63" w:rsidP="00F53CD9">
            <w:pPr>
              <w:tabs>
                <w:tab w:val="left" w:pos="345"/>
              </w:tabs>
              <w:jc w:val="both"/>
              <w:rPr>
                <w:b/>
                <w:bCs/>
                <w:sz w:val="22"/>
                <w:szCs w:val="24"/>
              </w:rPr>
            </w:pPr>
            <w:r w:rsidRPr="004024D8">
              <w:rPr>
                <w:b/>
                <w:bCs/>
                <w:sz w:val="22"/>
                <w:szCs w:val="24"/>
              </w:rPr>
              <w:t>Most of the job</w:t>
            </w:r>
            <w:r w:rsidR="004024D8" w:rsidRPr="004024D8">
              <w:rPr>
                <w:b/>
                <w:bCs/>
                <w:sz w:val="22"/>
                <w:szCs w:val="24"/>
              </w:rPr>
              <w:t xml:space="preserve"> </w:t>
            </w:r>
            <w:r w:rsidRPr="004024D8">
              <w:rPr>
                <w:b/>
                <w:bCs/>
                <w:sz w:val="22"/>
                <w:szCs w:val="24"/>
              </w:rPr>
              <w:t>opportunities would exist in Institutions of Higher Learning in the United States of America.</w:t>
            </w:r>
          </w:p>
          <w:p w14:paraId="2E3715C5" w14:textId="67DF0DD8" w:rsidR="00EE31C5" w:rsidRPr="004024D8" w:rsidRDefault="00EE31C5" w:rsidP="00F53CD9">
            <w:pPr>
              <w:tabs>
                <w:tab w:val="left" w:pos="345"/>
              </w:tabs>
              <w:jc w:val="both"/>
              <w:rPr>
                <w:sz w:val="22"/>
                <w:szCs w:val="24"/>
              </w:rPr>
            </w:pPr>
          </w:p>
          <w:p w14:paraId="124AE2F6" w14:textId="77777777" w:rsidR="00EE31C5" w:rsidRPr="00796EF2" w:rsidRDefault="00EE31C5" w:rsidP="00F53CD9">
            <w:pPr>
              <w:tabs>
                <w:tab w:val="left" w:pos="345"/>
              </w:tabs>
              <w:jc w:val="both"/>
              <w:rPr>
                <w:sz w:val="10"/>
                <w:szCs w:val="10"/>
              </w:rPr>
            </w:pPr>
          </w:p>
        </w:tc>
      </w:tr>
      <w:tr w:rsidR="00C634D7" w:rsidRPr="0085131D" w14:paraId="6F865DF1" w14:textId="77777777" w:rsidTr="00375698">
        <w:trPr>
          <w:trHeight w:val="1088"/>
        </w:trPr>
        <w:tc>
          <w:tcPr>
            <w:tcW w:w="10080" w:type="dxa"/>
          </w:tcPr>
          <w:p w14:paraId="38272B94" w14:textId="77777777" w:rsidR="00C634D7" w:rsidRDefault="00C634D7" w:rsidP="00F53CD9">
            <w:pPr>
              <w:tabs>
                <w:tab w:val="left" w:pos="345"/>
              </w:tabs>
              <w:jc w:val="both"/>
              <w:rPr>
                <w:sz w:val="22"/>
                <w:szCs w:val="22"/>
              </w:rPr>
            </w:pPr>
            <w:r w:rsidRPr="00B25867">
              <w:rPr>
                <w:sz w:val="22"/>
                <w:szCs w:val="22"/>
              </w:rPr>
              <w:t>8.</w:t>
            </w:r>
            <w:r w:rsidRPr="00B25867">
              <w:rPr>
                <w:sz w:val="22"/>
                <w:szCs w:val="22"/>
                <w:u w:val="single"/>
              </w:rPr>
              <w:t xml:space="preserve"> Existing Data</w:t>
            </w:r>
            <w:r w:rsidRPr="00B25867">
              <w:rPr>
                <w:sz w:val="22"/>
                <w:szCs w:val="22"/>
              </w:rPr>
              <w:t xml:space="preserve"> – Describe any existing anecdotes or data you have that would shed light on the job prospects of graduates from the proposed academic program. </w:t>
            </w:r>
            <w:r w:rsidR="003957C7">
              <w:rPr>
                <w:sz w:val="22"/>
                <w:szCs w:val="22"/>
              </w:rPr>
              <w:t xml:space="preserve">This data can be helpful to </w:t>
            </w:r>
            <w:r w:rsidRPr="00B25867">
              <w:rPr>
                <w:sz w:val="22"/>
                <w:szCs w:val="22"/>
              </w:rPr>
              <w:t xml:space="preserve">ADFA </w:t>
            </w:r>
            <w:r w:rsidR="003957C7">
              <w:rPr>
                <w:sz w:val="22"/>
                <w:szCs w:val="22"/>
              </w:rPr>
              <w:t xml:space="preserve">in </w:t>
            </w:r>
            <w:r w:rsidR="00F53CD9">
              <w:rPr>
                <w:sz w:val="22"/>
                <w:szCs w:val="22"/>
              </w:rPr>
              <w:t xml:space="preserve">conducting </w:t>
            </w:r>
            <w:r w:rsidR="00F53CD9" w:rsidRPr="00B25867">
              <w:rPr>
                <w:sz w:val="22"/>
                <w:szCs w:val="22"/>
              </w:rPr>
              <w:t>labor</w:t>
            </w:r>
            <w:r w:rsidRPr="00B25867">
              <w:rPr>
                <w:sz w:val="22"/>
                <w:szCs w:val="22"/>
              </w:rPr>
              <w:t xml:space="preserve"> market analysis.</w:t>
            </w:r>
          </w:p>
          <w:p w14:paraId="40AC56E0" w14:textId="77777777" w:rsidR="008D3B3E" w:rsidRDefault="008D3B3E" w:rsidP="00F53CD9">
            <w:pPr>
              <w:tabs>
                <w:tab w:val="left" w:pos="345"/>
              </w:tabs>
              <w:jc w:val="both"/>
              <w:rPr>
                <w:sz w:val="22"/>
                <w:szCs w:val="22"/>
              </w:rPr>
            </w:pPr>
          </w:p>
          <w:p w14:paraId="2C134C42" w14:textId="7C4EEEDB" w:rsidR="008D3B3E" w:rsidRDefault="00C91C51" w:rsidP="00F53CD9">
            <w:pPr>
              <w:tabs>
                <w:tab w:val="left" w:pos="345"/>
              </w:tabs>
              <w:jc w:val="both"/>
              <w:rPr>
                <w:sz w:val="22"/>
                <w:szCs w:val="22"/>
              </w:rPr>
            </w:pPr>
            <w:hyperlink r:id="rId13" w:history="1">
              <w:r w:rsidR="008D3B3E" w:rsidRPr="000C746F">
                <w:rPr>
                  <w:rStyle w:val="Hyperlink"/>
                  <w:sz w:val="22"/>
                  <w:szCs w:val="22"/>
                </w:rPr>
                <w:t>https://www.payscale.com/research/US/Degree=Doctor_of_Musical_Arts_(DMA)%2C_Music_Performance/Salary</w:t>
              </w:r>
            </w:hyperlink>
          </w:p>
          <w:p w14:paraId="392D9978" w14:textId="77777777" w:rsidR="008D3B3E" w:rsidRDefault="008D3B3E" w:rsidP="00F53CD9">
            <w:pPr>
              <w:tabs>
                <w:tab w:val="left" w:pos="345"/>
              </w:tabs>
              <w:jc w:val="both"/>
              <w:rPr>
                <w:sz w:val="22"/>
                <w:szCs w:val="22"/>
              </w:rPr>
            </w:pPr>
          </w:p>
          <w:p w14:paraId="1D841780" w14:textId="7B2E4583" w:rsidR="008D3B3E" w:rsidRPr="00B25867" w:rsidRDefault="008D3B3E" w:rsidP="00F53CD9">
            <w:pPr>
              <w:tabs>
                <w:tab w:val="left" w:pos="345"/>
              </w:tabs>
              <w:jc w:val="both"/>
              <w:rPr>
                <w:sz w:val="22"/>
                <w:szCs w:val="22"/>
              </w:rPr>
            </w:pPr>
          </w:p>
        </w:tc>
      </w:tr>
      <w:tr w:rsidR="00803BAE" w:rsidRPr="0085131D" w14:paraId="13B75F6F" w14:textId="77777777" w:rsidTr="00375698">
        <w:trPr>
          <w:trHeight w:val="1088"/>
        </w:trPr>
        <w:tc>
          <w:tcPr>
            <w:tcW w:w="10080" w:type="dxa"/>
          </w:tcPr>
          <w:p w14:paraId="10CEDB98" w14:textId="77777777" w:rsidR="00796EF2" w:rsidRPr="00796EF2" w:rsidRDefault="00796EF2" w:rsidP="00803BAE">
            <w:pPr>
              <w:tabs>
                <w:tab w:val="left" w:pos="345"/>
              </w:tabs>
              <w:rPr>
                <w:sz w:val="10"/>
                <w:szCs w:val="10"/>
              </w:rPr>
            </w:pPr>
          </w:p>
          <w:p w14:paraId="6ACAFF34" w14:textId="77777777" w:rsidR="007C5E90" w:rsidRPr="00796EF2" w:rsidRDefault="007C5E90" w:rsidP="007C5E90">
            <w:pPr>
              <w:rPr>
                <w:sz w:val="10"/>
                <w:szCs w:val="10"/>
              </w:rPr>
            </w:pPr>
          </w:p>
          <w:p w14:paraId="7CB3AB16" w14:textId="7322F833" w:rsidR="00796EF2" w:rsidRPr="00ED256A" w:rsidRDefault="00C634D7" w:rsidP="004024D8">
            <w:pPr>
              <w:rPr>
                <w:sz w:val="22"/>
                <w:szCs w:val="24"/>
              </w:rPr>
            </w:pPr>
            <w:r>
              <w:rPr>
                <w:sz w:val="22"/>
                <w:szCs w:val="24"/>
              </w:rPr>
              <w:t>9</w:t>
            </w:r>
            <w:r w:rsidR="00375698" w:rsidRPr="00375698">
              <w:rPr>
                <w:sz w:val="22"/>
                <w:szCs w:val="24"/>
              </w:rPr>
              <w:t>.</w:t>
            </w:r>
            <w:r w:rsidR="00375698">
              <w:rPr>
                <w:sz w:val="22"/>
                <w:szCs w:val="24"/>
                <w:u w:val="single"/>
              </w:rPr>
              <w:t xml:space="preserve"> </w:t>
            </w:r>
            <w:r w:rsidR="007C5E90" w:rsidRPr="00ED256A">
              <w:rPr>
                <w:sz w:val="22"/>
                <w:szCs w:val="24"/>
                <w:u w:val="single"/>
              </w:rPr>
              <w:t>Proposed</w:t>
            </w:r>
            <w:r w:rsidR="007C5E90" w:rsidRPr="00ED256A">
              <w:rPr>
                <w:i/>
                <w:sz w:val="22"/>
                <w:szCs w:val="24"/>
                <w:u w:val="single"/>
              </w:rPr>
              <w:t xml:space="preserve"> </w:t>
            </w:r>
            <w:r w:rsidR="007C5E90" w:rsidRPr="00ED256A">
              <w:rPr>
                <w:sz w:val="22"/>
                <w:szCs w:val="24"/>
                <w:u w:val="single"/>
              </w:rPr>
              <w:t>Implementation Date</w:t>
            </w:r>
            <w:r w:rsidR="007C5E90" w:rsidRPr="00ED256A">
              <w:rPr>
                <w:sz w:val="22"/>
                <w:szCs w:val="24"/>
              </w:rPr>
              <w:t xml:space="preserve"> – (MM/DD/YY):</w:t>
            </w:r>
            <w:r w:rsidR="00194459">
              <w:rPr>
                <w:sz w:val="22"/>
                <w:szCs w:val="24"/>
              </w:rPr>
              <w:t xml:space="preserve">  </w:t>
            </w:r>
            <w:r w:rsidR="00194459" w:rsidRPr="004024D8">
              <w:rPr>
                <w:b/>
                <w:bCs/>
                <w:sz w:val="22"/>
                <w:szCs w:val="24"/>
              </w:rPr>
              <w:t>01/15/2024</w:t>
            </w:r>
          </w:p>
        </w:tc>
      </w:tr>
      <w:tr w:rsidR="0038149D" w:rsidRPr="0085131D" w14:paraId="7F41465F" w14:textId="77777777" w:rsidTr="00796EF2">
        <w:tc>
          <w:tcPr>
            <w:tcW w:w="10080" w:type="dxa"/>
          </w:tcPr>
          <w:p w14:paraId="7CD4E349" w14:textId="77777777" w:rsidR="0038149D" w:rsidRPr="00796EF2" w:rsidRDefault="0038149D" w:rsidP="0085131D">
            <w:pPr>
              <w:tabs>
                <w:tab w:val="left" w:pos="300"/>
                <w:tab w:val="left" w:pos="1100"/>
              </w:tabs>
              <w:rPr>
                <w:sz w:val="10"/>
                <w:szCs w:val="10"/>
                <w:u w:val="single"/>
              </w:rPr>
            </w:pPr>
          </w:p>
          <w:p w14:paraId="0E20700B" w14:textId="77777777" w:rsidR="0038149D" w:rsidRPr="00ED256A" w:rsidRDefault="00924D12" w:rsidP="0085131D">
            <w:pPr>
              <w:tabs>
                <w:tab w:val="left" w:pos="300"/>
                <w:tab w:val="left" w:pos="1100"/>
              </w:tabs>
              <w:rPr>
                <w:sz w:val="22"/>
                <w:szCs w:val="24"/>
              </w:rPr>
            </w:pPr>
            <w:r>
              <w:rPr>
                <w:sz w:val="22"/>
                <w:szCs w:val="24"/>
              </w:rPr>
              <w:t>10</w:t>
            </w:r>
            <w:r w:rsidR="0038149D" w:rsidRPr="00ED256A">
              <w:rPr>
                <w:sz w:val="22"/>
                <w:szCs w:val="24"/>
              </w:rPr>
              <w:t xml:space="preserve">.  </w:t>
            </w:r>
            <w:r w:rsidR="0038149D" w:rsidRPr="00ED256A">
              <w:rPr>
                <w:sz w:val="22"/>
                <w:szCs w:val="24"/>
                <w:u w:val="single"/>
              </w:rPr>
              <w:t>Contact Person</w:t>
            </w:r>
            <w:r w:rsidR="00664F4C" w:rsidRPr="00ED256A">
              <w:rPr>
                <w:sz w:val="22"/>
                <w:szCs w:val="24"/>
              </w:rPr>
              <w:t xml:space="preserve"> –</w:t>
            </w:r>
            <w:r w:rsidR="0038149D" w:rsidRPr="00ED256A">
              <w:rPr>
                <w:sz w:val="22"/>
                <w:szCs w:val="24"/>
              </w:rPr>
              <w:t xml:space="preserve"> Provide contact information for the person who can answer specific </w:t>
            </w:r>
            <w:r w:rsidR="0003128E" w:rsidRPr="00ED256A">
              <w:rPr>
                <w:sz w:val="22"/>
                <w:szCs w:val="24"/>
              </w:rPr>
              <w:tab/>
            </w:r>
            <w:r w:rsidR="0038149D" w:rsidRPr="00ED256A">
              <w:rPr>
                <w:sz w:val="22"/>
                <w:szCs w:val="24"/>
              </w:rPr>
              <w:t xml:space="preserve">questions about the program: </w:t>
            </w:r>
          </w:p>
          <w:p w14:paraId="0D7707AD" w14:textId="77777777" w:rsidR="0038149D" w:rsidRPr="00ED256A" w:rsidRDefault="0038149D" w:rsidP="0085131D">
            <w:pPr>
              <w:tabs>
                <w:tab w:val="left" w:pos="1100"/>
              </w:tabs>
              <w:ind w:left="1400" w:hanging="700"/>
              <w:rPr>
                <w:sz w:val="22"/>
                <w:szCs w:val="24"/>
              </w:rPr>
            </w:pPr>
          </w:p>
          <w:p w14:paraId="61F66480" w14:textId="1F19124D" w:rsidR="00C56CF6" w:rsidRPr="00ED256A" w:rsidRDefault="0038149D" w:rsidP="004024D8">
            <w:pPr>
              <w:tabs>
                <w:tab w:val="left" w:pos="1100"/>
              </w:tabs>
              <w:ind w:left="400"/>
              <w:rPr>
                <w:sz w:val="22"/>
                <w:szCs w:val="24"/>
              </w:rPr>
            </w:pPr>
            <w:r w:rsidRPr="00ED256A">
              <w:rPr>
                <w:sz w:val="22"/>
                <w:szCs w:val="24"/>
              </w:rPr>
              <w:t xml:space="preserve">Name: </w:t>
            </w:r>
            <w:r w:rsidR="00194459" w:rsidRPr="004024D8">
              <w:rPr>
                <w:b/>
                <w:bCs/>
                <w:sz w:val="22"/>
                <w:szCs w:val="24"/>
              </w:rPr>
              <w:t>Dr. Jeffrey Murdock</w:t>
            </w:r>
          </w:p>
          <w:p w14:paraId="27DE88A1" w14:textId="368ECB46" w:rsidR="0038149D" w:rsidRPr="00ED256A" w:rsidRDefault="0038149D" w:rsidP="004024D8">
            <w:pPr>
              <w:tabs>
                <w:tab w:val="left" w:pos="1100"/>
              </w:tabs>
              <w:ind w:left="400"/>
              <w:rPr>
                <w:sz w:val="22"/>
                <w:szCs w:val="24"/>
              </w:rPr>
            </w:pPr>
            <w:r w:rsidRPr="00ED256A">
              <w:rPr>
                <w:sz w:val="22"/>
                <w:szCs w:val="24"/>
              </w:rPr>
              <w:t xml:space="preserve">Title: </w:t>
            </w:r>
            <w:r w:rsidR="00194459" w:rsidRPr="004024D8">
              <w:rPr>
                <w:b/>
                <w:bCs/>
                <w:sz w:val="22"/>
                <w:szCs w:val="24"/>
              </w:rPr>
              <w:t>Associate Professor</w:t>
            </w:r>
            <w:r w:rsidRPr="00ED256A">
              <w:rPr>
                <w:sz w:val="22"/>
                <w:szCs w:val="24"/>
              </w:rPr>
              <w:tab/>
            </w:r>
            <w:r w:rsidRPr="00ED256A">
              <w:rPr>
                <w:sz w:val="22"/>
                <w:szCs w:val="24"/>
              </w:rPr>
              <w:tab/>
            </w:r>
          </w:p>
          <w:p w14:paraId="0210415C" w14:textId="61849681" w:rsidR="00C56CF6" w:rsidRPr="00ED256A" w:rsidRDefault="0038149D" w:rsidP="004024D8">
            <w:pPr>
              <w:tabs>
                <w:tab w:val="left" w:pos="1100"/>
              </w:tabs>
              <w:ind w:left="400"/>
              <w:rPr>
                <w:sz w:val="22"/>
                <w:szCs w:val="24"/>
              </w:rPr>
            </w:pPr>
            <w:r w:rsidRPr="00ED256A">
              <w:rPr>
                <w:sz w:val="22"/>
                <w:szCs w:val="24"/>
              </w:rPr>
              <w:t xml:space="preserve">E-mail: </w:t>
            </w:r>
            <w:r w:rsidR="00194459" w:rsidRPr="004024D8">
              <w:rPr>
                <w:b/>
                <w:bCs/>
                <w:sz w:val="22"/>
                <w:szCs w:val="24"/>
              </w:rPr>
              <w:t>jeffreym@uark.edu</w:t>
            </w:r>
          </w:p>
          <w:p w14:paraId="44A8152D" w14:textId="767023F8" w:rsidR="00C56CF6" w:rsidRPr="00ED256A" w:rsidRDefault="0038149D" w:rsidP="00796EF2">
            <w:pPr>
              <w:ind w:left="400"/>
              <w:rPr>
                <w:sz w:val="22"/>
                <w:szCs w:val="24"/>
              </w:rPr>
            </w:pPr>
            <w:r w:rsidRPr="00ED256A">
              <w:rPr>
                <w:sz w:val="22"/>
                <w:szCs w:val="24"/>
              </w:rPr>
              <w:t>Phone:</w:t>
            </w:r>
            <w:r w:rsidR="00194459">
              <w:rPr>
                <w:sz w:val="22"/>
                <w:szCs w:val="24"/>
              </w:rPr>
              <w:t xml:space="preserve"> </w:t>
            </w:r>
            <w:r w:rsidR="00194459" w:rsidRPr="004024D8">
              <w:rPr>
                <w:b/>
                <w:bCs/>
                <w:sz w:val="22"/>
                <w:szCs w:val="24"/>
              </w:rPr>
              <w:t>901-486-5501</w:t>
            </w:r>
          </w:p>
        </w:tc>
      </w:tr>
    </w:tbl>
    <w:p w14:paraId="0635B85B" w14:textId="77777777" w:rsidR="00375698" w:rsidRDefault="00375698" w:rsidP="008044FA">
      <w:pPr>
        <w:rPr>
          <w:b/>
          <w:sz w:val="24"/>
          <w:szCs w:val="24"/>
        </w:rPr>
      </w:pPr>
    </w:p>
    <w:p w14:paraId="55EE28B0" w14:textId="77777777" w:rsidR="000C7F9A" w:rsidRPr="000C7F9A" w:rsidRDefault="00622FB8" w:rsidP="002E6042">
      <w:pPr>
        <w:jc w:val="both"/>
        <w:rPr>
          <w:color w:val="000000"/>
          <w:sz w:val="22"/>
          <w:szCs w:val="22"/>
        </w:rPr>
      </w:pPr>
      <w:r w:rsidRPr="000C7F9A">
        <w:rPr>
          <w:sz w:val="22"/>
          <w:szCs w:val="22"/>
        </w:rPr>
        <w:t>Email the completed form:</w:t>
      </w:r>
      <w:r w:rsidR="00EE17CB" w:rsidRPr="000C7F9A">
        <w:rPr>
          <w:sz w:val="22"/>
          <w:szCs w:val="22"/>
        </w:rPr>
        <w:t xml:space="preserve"> </w:t>
      </w:r>
      <w:r w:rsidR="000C7F9A" w:rsidRPr="000C7F9A">
        <w:rPr>
          <w:sz w:val="22"/>
          <w:szCs w:val="22"/>
        </w:rPr>
        <w:t xml:space="preserve">Dr. </w:t>
      </w:r>
      <w:r w:rsidR="000C7F9A" w:rsidRPr="000C7F9A">
        <w:rPr>
          <w:color w:val="000000"/>
          <w:sz w:val="22"/>
          <w:szCs w:val="22"/>
        </w:rPr>
        <w:t>Nicolas Aguelakakis (</w:t>
      </w:r>
      <w:hyperlink r:id="rId14" w:history="1">
        <w:r w:rsidR="000C7F9A" w:rsidRPr="000C7F9A">
          <w:rPr>
            <w:rStyle w:val="Hyperlink"/>
            <w:sz w:val="22"/>
            <w:szCs w:val="22"/>
          </w:rPr>
          <w:t>Nicolas.Aguelakakis@arkansas.gov</w:t>
        </w:r>
      </w:hyperlink>
      <w:r w:rsidR="000C7F9A" w:rsidRPr="000C7F9A">
        <w:rPr>
          <w:color w:val="000000"/>
          <w:sz w:val="22"/>
          <w:szCs w:val="22"/>
        </w:rPr>
        <w:t xml:space="preserve">). </w:t>
      </w:r>
    </w:p>
    <w:p w14:paraId="2C9BD988" w14:textId="77777777" w:rsidR="000C7F9A" w:rsidRPr="000C7F9A" w:rsidRDefault="000C7F9A" w:rsidP="002E6042">
      <w:pPr>
        <w:jc w:val="both"/>
        <w:rPr>
          <w:sz w:val="22"/>
          <w:szCs w:val="22"/>
        </w:rPr>
      </w:pPr>
    </w:p>
    <w:p w14:paraId="71F4F7F7" w14:textId="77777777" w:rsidR="000237CF" w:rsidRPr="000C7F9A" w:rsidRDefault="00924D12" w:rsidP="002E6042">
      <w:pPr>
        <w:jc w:val="both"/>
        <w:rPr>
          <w:sz w:val="22"/>
          <w:szCs w:val="22"/>
        </w:rPr>
      </w:pPr>
      <w:r w:rsidRPr="000C7F9A">
        <w:rPr>
          <w:sz w:val="22"/>
          <w:szCs w:val="22"/>
        </w:rPr>
        <w:t>After the labor market analysis has been completed, the institution will be invited to respond, providing further information that might shed light and help to interpret the data provided.</w:t>
      </w:r>
    </w:p>
    <w:p w14:paraId="7F951A94" w14:textId="7EBA0FF7" w:rsidR="00B90143" w:rsidRPr="004024D8" w:rsidRDefault="00B90143" w:rsidP="00CA7C30">
      <w:pPr>
        <w:jc w:val="both"/>
        <w:rPr>
          <w:sz w:val="22"/>
          <w:szCs w:val="22"/>
        </w:rPr>
      </w:pPr>
    </w:p>
    <w:sectPr w:rsidR="00B90143" w:rsidRPr="004024D8" w:rsidSect="00B25867">
      <w:footerReference w:type="even" r:id="rId15"/>
      <w:footerReference w:type="default" r:id="rId16"/>
      <w:footerReference w:type="first" r:id="rId17"/>
      <w:endnotePr>
        <w:numFmt w:val="decimal"/>
      </w:endnotePr>
      <w:pgSz w:w="12240" w:h="15840"/>
      <w:pgMar w:top="720" w:right="1339" w:bottom="864" w:left="1440" w:header="720" w:footer="360"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5231F" w14:textId="77777777" w:rsidR="00992AEC" w:rsidRDefault="00992AEC">
      <w:r>
        <w:separator/>
      </w:r>
    </w:p>
  </w:endnote>
  <w:endnote w:type="continuationSeparator" w:id="0">
    <w:p w14:paraId="7C61EE76" w14:textId="77777777" w:rsidR="00992AEC" w:rsidRDefault="0099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640327"/>
      <w:docPartObj>
        <w:docPartGallery w:val="Page Numbers (Bottom of Page)"/>
        <w:docPartUnique/>
      </w:docPartObj>
    </w:sdtPr>
    <w:sdtEndPr>
      <w:rPr>
        <w:rStyle w:val="PageNumber"/>
      </w:rPr>
    </w:sdtEndPr>
    <w:sdtContent>
      <w:p w14:paraId="799A2E1A"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E78612" w14:textId="77777777" w:rsidR="003957C7" w:rsidRDefault="00395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788763"/>
      <w:docPartObj>
        <w:docPartGallery w:val="Page Numbers (Bottom of Page)"/>
        <w:docPartUnique/>
      </w:docPartObj>
    </w:sdtPr>
    <w:sdtEndPr>
      <w:rPr>
        <w:rStyle w:val="PageNumber"/>
      </w:rPr>
    </w:sdtEndPr>
    <w:sdtContent>
      <w:p w14:paraId="533D0F92"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C7F9A">
          <w:rPr>
            <w:rStyle w:val="PageNumber"/>
            <w:noProof/>
          </w:rPr>
          <w:t>- 3 -</w:t>
        </w:r>
        <w:r>
          <w:rPr>
            <w:rStyle w:val="PageNumber"/>
          </w:rPr>
          <w:fldChar w:fldCharType="end"/>
        </w:r>
      </w:p>
    </w:sdtContent>
  </w:sdt>
  <w:p w14:paraId="688B2556" w14:textId="77777777" w:rsidR="00607D5E" w:rsidRPr="00F05E48" w:rsidRDefault="00607D5E" w:rsidP="00F05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328765"/>
      <w:docPartObj>
        <w:docPartGallery w:val="Page Numbers (Bottom of Page)"/>
        <w:docPartUnique/>
      </w:docPartObj>
    </w:sdtPr>
    <w:sdtEndPr>
      <w:rPr>
        <w:rStyle w:val="PageNumber"/>
      </w:rPr>
    </w:sdtEndPr>
    <w:sdtContent>
      <w:p w14:paraId="307E8800"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013431E2" w14:textId="77777777" w:rsidR="003957C7" w:rsidRDefault="00395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7EFF" w14:textId="77777777" w:rsidR="00992AEC" w:rsidRDefault="00992AEC">
      <w:r>
        <w:separator/>
      </w:r>
    </w:p>
  </w:footnote>
  <w:footnote w:type="continuationSeparator" w:id="0">
    <w:p w14:paraId="6EA60082" w14:textId="77777777" w:rsidR="00992AEC" w:rsidRDefault="00992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857EC"/>
    <w:multiLevelType w:val="hybridMultilevel"/>
    <w:tmpl w:val="8E1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52860"/>
    <w:multiLevelType w:val="hybridMultilevel"/>
    <w:tmpl w:val="E178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15:restartNumberingAfterBreak="0">
    <w:nsid w:val="20093175"/>
    <w:multiLevelType w:val="multilevel"/>
    <w:tmpl w:val="32A4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9D7597"/>
    <w:multiLevelType w:val="hybridMultilevel"/>
    <w:tmpl w:val="EFEA8A6E"/>
    <w:lvl w:ilvl="0" w:tplc="31F603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97695084">
    <w:abstractNumId w:val="9"/>
  </w:num>
  <w:num w:numId="2" w16cid:durableId="1829319599">
    <w:abstractNumId w:val="12"/>
  </w:num>
  <w:num w:numId="3" w16cid:durableId="950816235">
    <w:abstractNumId w:val="5"/>
  </w:num>
  <w:num w:numId="4" w16cid:durableId="2030522023">
    <w:abstractNumId w:val="15"/>
  </w:num>
  <w:num w:numId="5" w16cid:durableId="1906447438">
    <w:abstractNumId w:val="19"/>
  </w:num>
  <w:num w:numId="6" w16cid:durableId="1155878006">
    <w:abstractNumId w:val="8"/>
  </w:num>
  <w:num w:numId="7" w16cid:durableId="805778270">
    <w:abstractNumId w:val="14"/>
  </w:num>
  <w:num w:numId="8" w16cid:durableId="1565943772">
    <w:abstractNumId w:val="17"/>
  </w:num>
  <w:num w:numId="9" w16cid:durableId="1026558781">
    <w:abstractNumId w:val="4"/>
  </w:num>
  <w:num w:numId="10" w16cid:durableId="987393721">
    <w:abstractNumId w:val="18"/>
  </w:num>
  <w:num w:numId="11" w16cid:durableId="711616676">
    <w:abstractNumId w:val="11"/>
  </w:num>
  <w:num w:numId="12" w16cid:durableId="589892833">
    <w:abstractNumId w:val="1"/>
  </w:num>
  <w:num w:numId="13" w16cid:durableId="1552378470">
    <w:abstractNumId w:val="16"/>
  </w:num>
  <w:num w:numId="14" w16cid:durableId="904952017">
    <w:abstractNumId w:val="13"/>
  </w:num>
  <w:num w:numId="15" w16cid:durableId="1895971851">
    <w:abstractNumId w:val="7"/>
  </w:num>
  <w:num w:numId="16" w16cid:durableId="852449924">
    <w:abstractNumId w:val="0"/>
  </w:num>
  <w:num w:numId="17" w16cid:durableId="821770586">
    <w:abstractNumId w:val="10"/>
  </w:num>
  <w:num w:numId="18" w16cid:durableId="809324881">
    <w:abstractNumId w:val="2"/>
  </w:num>
  <w:num w:numId="19" w16cid:durableId="546646599">
    <w:abstractNumId w:val="3"/>
  </w:num>
  <w:num w:numId="20" w16cid:durableId="2624914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8"/>
    <w:rsid w:val="0000592C"/>
    <w:rsid w:val="000061AC"/>
    <w:rsid w:val="00012579"/>
    <w:rsid w:val="00012864"/>
    <w:rsid w:val="000155A4"/>
    <w:rsid w:val="0001621F"/>
    <w:rsid w:val="0002351D"/>
    <w:rsid w:val="000237CF"/>
    <w:rsid w:val="0003128E"/>
    <w:rsid w:val="00034312"/>
    <w:rsid w:val="000355AA"/>
    <w:rsid w:val="00045DC6"/>
    <w:rsid w:val="000469AE"/>
    <w:rsid w:val="00051778"/>
    <w:rsid w:val="0005670B"/>
    <w:rsid w:val="00063B5C"/>
    <w:rsid w:val="000651D9"/>
    <w:rsid w:val="00082FCE"/>
    <w:rsid w:val="0008574F"/>
    <w:rsid w:val="000878CC"/>
    <w:rsid w:val="000942EE"/>
    <w:rsid w:val="000B2A8D"/>
    <w:rsid w:val="000C090C"/>
    <w:rsid w:val="000C7AFD"/>
    <w:rsid w:val="000C7F9A"/>
    <w:rsid w:val="000E099B"/>
    <w:rsid w:val="000F4880"/>
    <w:rsid w:val="000F4CA1"/>
    <w:rsid w:val="001127C2"/>
    <w:rsid w:val="00112897"/>
    <w:rsid w:val="0011291C"/>
    <w:rsid w:val="00120279"/>
    <w:rsid w:val="0012761B"/>
    <w:rsid w:val="00127DD7"/>
    <w:rsid w:val="00146121"/>
    <w:rsid w:val="001466CF"/>
    <w:rsid w:val="0014722D"/>
    <w:rsid w:val="001505F7"/>
    <w:rsid w:val="00151A03"/>
    <w:rsid w:val="0015507B"/>
    <w:rsid w:val="001578B0"/>
    <w:rsid w:val="00160A7A"/>
    <w:rsid w:val="0016317C"/>
    <w:rsid w:val="00165CA0"/>
    <w:rsid w:val="00170684"/>
    <w:rsid w:val="00171E5B"/>
    <w:rsid w:val="0017449F"/>
    <w:rsid w:val="00177D98"/>
    <w:rsid w:val="00177FB9"/>
    <w:rsid w:val="00180106"/>
    <w:rsid w:val="00182AFF"/>
    <w:rsid w:val="00182F47"/>
    <w:rsid w:val="001863C3"/>
    <w:rsid w:val="00194459"/>
    <w:rsid w:val="001A1D9E"/>
    <w:rsid w:val="001A2C86"/>
    <w:rsid w:val="001A545B"/>
    <w:rsid w:val="001B40F2"/>
    <w:rsid w:val="001B444E"/>
    <w:rsid w:val="001D0882"/>
    <w:rsid w:val="001E2819"/>
    <w:rsid w:val="001F0EE7"/>
    <w:rsid w:val="001F2DF3"/>
    <w:rsid w:val="001F6456"/>
    <w:rsid w:val="00202107"/>
    <w:rsid w:val="002105F4"/>
    <w:rsid w:val="00212380"/>
    <w:rsid w:val="002169B3"/>
    <w:rsid w:val="002322C6"/>
    <w:rsid w:val="00245FB5"/>
    <w:rsid w:val="00247907"/>
    <w:rsid w:val="00250DD9"/>
    <w:rsid w:val="002617E7"/>
    <w:rsid w:val="002632B9"/>
    <w:rsid w:val="00270DA9"/>
    <w:rsid w:val="002711EA"/>
    <w:rsid w:val="00274666"/>
    <w:rsid w:val="0027795B"/>
    <w:rsid w:val="00294002"/>
    <w:rsid w:val="00296EC9"/>
    <w:rsid w:val="002A461E"/>
    <w:rsid w:val="002A6866"/>
    <w:rsid w:val="002A771D"/>
    <w:rsid w:val="002B0957"/>
    <w:rsid w:val="002B66B0"/>
    <w:rsid w:val="002D12B9"/>
    <w:rsid w:val="002D14A3"/>
    <w:rsid w:val="002D5891"/>
    <w:rsid w:val="002D7C4E"/>
    <w:rsid w:val="002E0E2C"/>
    <w:rsid w:val="002E1F0D"/>
    <w:rsid w:val="002E6042"/>
    <w:rsid w:val="002E7F7B"/>
    <w:rsid w:val="003141A2"/>
    <w:rsid w:val="00314EC9"/>
    <w:rsid w:val="003174C4"/>
    <w:rsid w:val="00320207"/>
    <w:rsid w:val="003205BB"/>
    <w:rsid w:val="00331F6B"/>
    <w:rsid w:val="00334760"/>
    <w:rsid w:val="0034671B"/>
    <w:rsid w:val="00354444"/>
    <w:rsid w:val="00360B9B"/>
    <w:rsid w:val="00370BA4"/>
    <w:rsid w:val="00372E41"/>
    <w:rsid w:val="00375698"/>
    <w:rsid w:val="00380E2E"/>
    <w:rsid w:val="0038149D"/>
    <w:rsid w:val="003814B9"/>
    <w:rsid w:val="003957C7"/>
    <w:rsid w:val="003A404F"/>
    <w:rsid w:val="003B149B"/>
    <w:rsid w:val="003B4C83"/>
    <w:rsid w:val="003C2ADD"/>
    <w:rsid w:val="003E08CA"/>
    <w:rsid w:val="003E3915"/>
    <w:rsid w:val="003E59FF"/>
    <w:rsid w:val="003F026F"/>
    <w:rsid w:val="004024D8"/>
    <w:rsid w:val="004069C2"/>
    <w:rsid w:val="00411E97"/>
    <w:rsid w:val="004216D2"/>
    <w:rsid w:val="00424264"/>
    <w:rsid w:val="0042434B"/>
    <w:rsid w:val="0043561E"/>
    <w:rsid w:val="00441CDB"/>
    <w:rsid w:val="00442756"/>
    <w:rsid w:val="004468D2"/>
    <w:rsid w:val="00447BA0"/>
    <w:rsid w:val="00450527"/>
    <w:rsid w:val="00451F39"/>
    <w:rsid w:val="00461429"/>
    <w:rsid w:val="004619CE"/>
    <w:rsid w:val="00474ACF"/>
    <w:rsid w:val="00481355"/>
    <w:rsid w:val="00495886"/>
    <w:rsid w:val="00495FEF"/>
    <w:rsid w:val="00497A08"/>
    <w:rsid w:val="004A3313"/>
    <w:rsid w:val="004A51FD"/>
    <w:rsid w:val="004B3050"/>
    <w:rsid w:val="004B4D83"/>
    <w:rsid w:val="004B6358"/>
    <w:rsid w:val="004D050D"/>
    <w:rsid w:val="004D4725"/>
    <w:rsid w:val="004E435C"/>
    <w:rsid w:val="004E61D7"/>
    <w:rsid w:val="004F755B"/>
    <w:rsid w:val="00503023"/>
    <w:rsid w:val="0050346C"/>
    <w:rsid w:val="005102AC"/>
    <w:rsid w:val="0051294C"/>
    <w:rsid w:val="00517030"/>
    <w:rsid w:val="00534530"/>
    <w:rsid w:val="00542EBC"/>
    <w:rsid w:val="005433B1"/>
    <w:rsid w:val="005455EC"/>
    <w:rsid w:val="00551B14"/>
    <w:rsid w:val="005547D8"/>
    <w:rsid w:val="00554A49"/>
    <w:rsid w:val="0056058F"/>
    <w:rsid w:val="00571A74"/>
    <w:rsid w:val="00571DB3"/>
    <w:rsid w:val="00574058"/>
    <w:rsid w:val="005774AD"/>
    <w:rsid w:val="005878FD"/>
    <w:rsid w:val="00592015"/>
    <w:rsid w:val="00593F34"/>
    <w:rsid w:val="005A30C3"/>
    <w:rsid w:val="005C19C5"/>
    <w:rsid w:val="005D4592"/>
    <w:rsid w:val="005D5470"/>
    <w:rsid w:val="005F02BF"/>
    <w:rsid w:val="00607D5E"/>
    <w:rsid w:val="00621AAC"/>
    <w:rsid w:val="00622FB8"/>
    <w:rsid w:val="006310A4"/>
    <w:rsid w:val="00635407"/>
    <w:rsid w:val="00635917"/>
    <w:rsid w:val="00635DD4"/>
    <w:rsid w:val="0064221A"/>
    <w:rsid w:val="00645DAB"/>
    <w:rsid w:val="0064660F"/>
    <w:rsid w:val="00647A72"/>
    <w:rsid w:val="00650B80"/>
    <w:rsid w:val="00651AA0"/>
    <w:rsid w:val="00651D93"/>
    <w:rsid w:val="0066372F"/>
    <w:rsid w:val="00664F4C"/>
    <w:rsid w:val="00667340"/>
    <w:rsid w:val="00670CD7"/>
    <w:rsid w:val="00684AAB"/>
    <w:rsid w:val="00693F63"/>
    <w:rsid w:val="00695AC7"/>
    <w:rsid w:val="006966EF"/>
    <w:rsid w:val="00696DE5"/>
    <w:rsid w:val="00697850"/>
    <w:rsid w:val="006A0DE0"/>
    <w:rsid w:val="006A3167"/>
    <w:rsid w:val="006A40FA"/>
    <w:rsid w:val="006A605F"/>
    <w:rsid w:val="006B2316"/>
    <w:rsid w:val="006C3EB9"/>
    <w:rsid w:val="006C50FE"/>
    <w:rsid w:val="006C58EB"/>
    <w:rsid w:val="006D349E"/>
    <w:rsid w:val="006D69DC"/>
    <w:rsid w:val="006E367E"/>
    <w:rsid w:val="006E6260"/>
    <w:rsid w:val="006F2EA2"/>
    <w:rsid w:val="006F3621"/>
    <w:rsid w:val="00707C5B"/>
    <w:rsid w:val="00725935"/>
    <w:rsid w:val="007273B6"/>
    <w:rsid w:val="00744DB1"/>
    <w:rsid w:val="00752119"/>
    <w:rsid w:val="00752D2A"/>
    <w:rsid w:val="00757C1F"/>
    <w:rsid w:val="00762FF4"/>
    <w:rsid w:val="00763D8F"/>
    <w:rsid w:val="00766EDE"/>
    <w:rsid w:val="0077794A"/>
    <w:rsid w:val="00796EF2"/>
    <w:rsid w:val="007A155F"/>
    <w:rsid w:val="007A1D79"/>
    <w:rsid w:val="007A4A56"/>
    <w:rsid w:val="007B4005"/>
    <w:rsid w:val="007B6447"/>
    <w:rsid w:val="007B6600"/>
    <w:rsid w:val="007C3AF8"/>
    <w:rsid w:val="007C5E90"/>
    <w:rsid w:val="007E2F99"/>
    <w:rsid w:val="007E7AE3"/>
    <w:rsid w:val="007F0C40"/>
    <w:rsid w:val="007F1A1C"/>
    <w:rsid w:val="007F1DCB"/>
    <w:rsid w:val="007F583F"/>
    <w:rsid w:val="007F6C53"/>
    <w:rsid w:val="007F7BA8"/>
    <w:rsid w:val="00803053"/>
    <w:rsid w:val="00803BAE"/>
    <w:rsid w:val="008044FA"/>
    <w:rsid w:val="008177B4"/>
    <w:rsid w:val="00823429"/>
    <w:rsid w:val="008303B7"/>
    <w:rsid w:val="00842EF4"/>
    <w:rsid w:val="00845477"/>
    <w:rsid w:val="0085131D"/>
    <w:rsid w:val="00851B14"/>
    <w:rsid w:val="008540B8"/>
    <w:rsid w:val="008557AA"/>
    <w:rsid w:val="00866EBA"/>
    <w:rsid w:val="00872103"/>
    <w:rsid w:val="00872DB0"/>
    <w:rsid w:val="008911CD"/>
    <w:rsid w:val="00891496"/>
    <w:rsid w:val="00897842"/>
    <w:rsid w:val="008A12FB"/>
    <w:rsid w:val="008B118D"/>
    <w:rsid w:val="008B34B3"/>
    <w:rsid w:val="008B65BD"/>
    <w:rsid w:val="008C7E5D"/>
    <w:rsid w:val="008D0343"/>
    <w:rsid w:val="008D3B3E"/>
    <w:rsid w:val="008D4940"/>
    <w:rsid w:val="008D5105"/>
    <w:rsid w:val="008D5CB9"/>
    <w:rsid w:val="008E4247"/>
    <w:rsid w:val="008E7EC8"/>
    <w:rsid w:val="008F0D41"/>
    <w:rsid w:val="008F1DDD"/>
    <w:rsid w:val="008F3C61"/>
    <w:rsid w:val="008F4A35"/>
    <w:rsid w:val="008F71C2"/>
    <w:rsid w:val="0090482E"/>
    <w:rsid w:val="009103D5"/>
    <w:rsid w:val="0092012A"/>
    <w:rsid w:val="009219FE"/>
    <w:rsid w:val="009226A8"/>
    <w:rsid w:val="00924D12"/>
    <w:rsid w:val="00931E39"/>
    <w:rsid w:val="00936757"/>
    <w:rsid w:val="00936D9B"/>
    <w:rsid w:val="00941E5C"/>
    <w:rsid w:val="00946970"/>
    <w:rsid w:val="009530A1"/>
    <w:rsid w:val="00960D86"/>
    <w:rsid w:val="00961293"/>
    <w:rsid w:val="009628AD"/>
    <w:rsid w:val="009672C2"/>
    <w:rsid w:val="00975B52"/>
    <w:rsid w:val="0097755F"/>
    <w:rsid w:val="009778FE"/>
    <w:rsid w:val="0098283C"/>
    <w:rsid w:val="00982890"/>
    <w:rsid w:val="00986122"/>
    <w:rsid w:val="00991CB4"/>
    <w:rsid w:val="00992AEC"/>
    <w:rsid w:val="009A48A9"/>
    <w:rsid w:val="009B07DD"/>
    <w:rsid w:val="009B41F5"/>
    <w:rsid w:val="009C03CB"/>
    <w:rsid w:val="009D0F8D"/>
    <w:rsid w:val="009D628E"/>
    <w:rsid w:val="009E32B0"/>
    <w:rsid w:val="009E3434"/>
    <w:rsid w:val="009E3FF8"/>
    <w:rsid w:val="009E478C"/>
    <w:rsid w:val="00A00A28"/>
    <w:rsid w:val="00A032F1"/>
    <w:rsid w:val="00A06C40"/>
    <w:rsid w:val="00A23E13"/>
    <w:rsid w:val="00A34636"/>
    <w:rsid w:val="00A43171"/>
    <w:rsid w:val="00A444F1"/>
    <w:rsid w:val="00A45041"/>
    <w:rsid w:val="00A62092"/>
    <w:rsid w:val="00A62332"/>
    <w:rsid w:val="00A85953"/>
    <w:rsid w:val="00A860C6"/>
    <w:rsid w:val="00A9279D"/>
    <w:rsid w:val="00A928A7"/>
    <w:rsid w:val="00A93E8C"/>
    <w:rsid w:val="00A94EDC"/>
    <w:rsid w:val="00AA010B"/>
    <w:rsid w:val="00AA0DCE"/>
    <w:rsid w:val="00AC6244"/>
    <w:rsid w:val="00AC7163"/>
    <w:rsid w:val="00AC742A"/>
    <w:rsid w:val="00AD1E7F"/>
    <w:rsid w:val="00AD262C"/>
    <w:rsid w:val="00AD77EA"/>
    <w:rsid w:val="00AE59BC"/>
    <w:rsid w:val="00AF3014"/>
    <w:rsid w:val="00AF5DF9"/>
    <w:rsid w:val="00AF74CA"/>
    <w:rsid w:val="00B103D2"/>
    <w:rsid w:val="00B136A6"/>
    <w:rsid w:val="00B1565C"/>
    <w:rsid w:val="00B22F8E"/>
    <w:rsid w:val="00B237E0"/>
    <w:rsid w:val="00B25867"/>
    <w:rsid w:val="00B31C05"/>
    <w:rsid w:val="00B36DDF"/>
    <w:rsid w:val="00B458A7"/>
    <w:rsid w:val="00B55B26"/>
    <w:rsid w:val="00B6305A"/>
    <w:rsid w:val="00B64174"/>
    <w:rsid w:val="00B66199"/>
    <w:rsid w:val="00B666B5"/>
    <w:rsid w:val="00B700BF"/>
    <w:rsid w:val="00B7023F"/>
    <w:rsid w:val="00B7087E"/>
    <w:rsid w:val="00B7480A"/>
    <w:rsid w:val="00B90143"/>
    <w:rsid w:val="00B930E7"/>
    <w:rsid w:val="00BA1B0E"/>
    <w:rsid w:val="00BA27DC"/>
    <w:rsid w:val="00BC34E3"/>
    <w:rsid w:val="00BC430A"/>
    <w:rsid w:val="00BC742D"/>
    <w:rsid w:val="00BD12A8"/>
    <w:rsid w:val="00BD4CFB"/>
    <w:rsid w:val="00BE04DC"/>
    <w:rsid w:val="00C210B1"/>
    <w:rsid w:val="00C3378F"/>
    <w:rsid w:val="00C53BEB"/>
    <w:rsid w:val="00C56CF6"/>
    <w:rsid w:val="00C62019"/>
    <w:rsid w:val="00C634D7"/>
    <w:rsid w:val="00C65A22"/>
    <w:rsid w:val="00C65E9C"/>
    <w:rsid w:val="00C71D64"/>
    <w:rsid w:val="00C835A3"/>
    <w:rsid w:val="00C91C51"/>
    <w:rsid w:val="00CA6AA9"/>
    <w:rsid w:val="00CA6E9F"/>
    <w:rsid w:val="00CA78F2"/>
    <w:rsid w:val="00CA7C30"/>
    <w:rsid w:val="00CB0AA4"/>
    <w:rsid w:val="00CB43A9"/>
    <w:rsid w:val="00CC0EBC"/>
    <w:rsid w:val="00CC3D3F"/>
    <w:rsid w:val="00CD1A3D"/>
    <w:rsid w:val="00CE2BD0"/>
    <w:rsid w:val="00CF3FE6"/>
    <w:rsid w:val="00D00D41"/>
    <w:rsid w:val="00D01412"/>
    <w:rsid w:val="00D03E30"/>
    <w:rsid w:val="00D0668D"/>
    <w:rsid w:val="00D1169F"/>
    <w:rsid w:val="00D143CC"/>
    <w:rsid w:val="00D2204D"/>
    <w:rsid w:val="00D36423"/>
    <w:rsid w:val="00D36B84"/>
    <w:rsid w:val="00D3781B"/>
    <w:rsid w:val="00D4761A"/>
    <w:rsid w:val="00D52F32"/>
    <w:rsid w:val="00D55379"/>
    <w:rsid w:val="00D629FA"/>
    <w:rsid w:val="00D66669"/>
    <w:rsid w:val="00D962DD"/>
    <w:rsid w:val="00DB2D8B"/>
    <w:rsid w:val="00DC0C30"/>
    <w:rsid w:val="00DC0CD8"/>
    <w:rsid w:val="00DC4360"/>
    <w:rsid w:val="00DD29BD"/>
    <w:rsid w:val="00DD4F78"/>
    <w:rsid w:val="00DD7ABD"/>
    <w:rsid w:val="00DE20F1"/>
    <w:rsid w:val="00DE6AC9"/>
    <w:rsid w:val="00DF2711"/>
    <w:rsid w:val="00DF3F9D"/>
    <w:rsid w:val="00DF7177"/>
    <w:rsid w:val="00DF79FE"/>
    <w:rsid w:val="00E00510"/>
    <w:rsid w:val="00E113E1"/>
    <w:rsid w:val="00E12261"/>
    <w:rsid w:val="00E12B3E"/>
    <w:rsid w:val="00E16BFF"/>
    <w:rsid w:val="00E24BD1"/>
    <w:rsid w:val="00E26D7F"/>
    <w:rsid w:val="00E27046"/>
    <w:rsid w:val="00E2730B"/>
    <w:rsid w:val="00E32B7F"/>
    <w:rsid w:val="00E355B6"/>
    <w:rsid w:val="00E406EA"/>
    <w:rsid w:val="00E41CC4"/>
    <w:rsid w:val="00E46553"/>
    <w:rsid w:val="00E478FF"/>
    <w:rsid w:val="00E53308"/>
    <w:rsid w:val="00E6324B"/>
    <w:rsid w:val="00E71A1C"/>
    <w:rsid w:val="00E73E78"/>
    <w:rsid w:val="00E756E8"/>
    <w:rsid w:val="00E76E69"/>
    <w:rsid w:val="00E77E7F"/>
    <w:rsid w:val="00EA02A1"/>
    <w:rsid w:val="00EA2C40"/>
    <w:rsid w:val="00EB1DAC"/>
    <w:rsid w:val="00EB1ED9"/>
    <w:rsid w:val="00EB2BA2"/>
    <w:rsid w:val="00EB5352"/>
    <w:rsid w:val="00EC09E9"/>
    <w:rsid w:val="00EC0DEB"/>
    <w:rsid w:val="00EC1135"/>
    <w:rsid w:val="00EC1658"/>
    <w:rsid w:val="00EC6D50"/>
    <w:rsid w:val="00ED256A"/>
    <w:rsid w:val="00ED478A"/>
    <w:rsid w:val="00EE0DE9"/>
    <w:rsid w:val="00EE17CB"/>
    <w:rsid w:val="00EE289C"/>
    <w:rsid w:val="00EE31C5"/>
    <w:rsid w:val="00EF2E69"/>
    <w:rsid w:val="00EF7B4B"/>
    <w:rsid w:val="00F02E17"/>
    <w:rsid w:val="00F05E48"/>
    <w:rsid w:val="00F06F3B"/>
    <w:rsid w:val="00F116F0"/>
    <w:rsid w:val="00F142F1"/>
    <w:rsid w:val="00F21FBF"/>
    <w:rsid w:val="00F33B76"/>
    <w:rsid w:val="00F34438"/>
    <w:rsid w:val="00F35C63"/>
    <w:rsid w:val="00F46FBA"/>
    <w:rsid w:val="00F50AA3"/>
    <w:rsid w:val="00F53CD9"/>
    <w:rsid w:val="00F61C00"/>
    <w:rsid w:val="00F62B53"/>
    <w:rsid w:val="00F6354A"/>
    <w:rsid w:val="00F63847"/>
    <w:rsid w:val="00F74B6A"/>
    <w:rsid w:val="00F756B8"/>
    <w:rsid w:val="00F75FEB"/>
    <w:rsid w:val="00F8594B"/>
    <w:rsid w:val="00F94F85"/>
    <w:rsid w:val="00F95AD1"/>
    <w:rsid w:val="00FA074E"/>
    <w:rsid w:val="00FA1088"/>
    <w:rsid w:val="00FB0500"/>
    <w:rsid w:val="00FB09B0"/>
    <w:rsid w:val="00FB6F44"/>
    <w:rsid w:val="00FC0327"/>
    <w:rsid w:val="00FC2764"/>
    <w:rsid w:val="00FD2706"/>
    <w:rsid w:val="00FE1CB6"/>
    <w:rsid w:val="00FE332F"/>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02AD7"/>
  <w15:docId w15:val="{802D830B-821B-744F-B8F3-03DD8BB3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67E"/>
    <w:rPr>
      <w:rFonts w:ascii="Arial" w:hAnsi="Arial" w:cs="Arial"/>
    </w:rPr>
  </w:style>
  <w:style w:type="paragraph" w:styleId="Heading4">
    <w:name w:val="heading 4"/>
    <w:basedOn w:val="Normal"/>
    <w:next w:val="Normal"/>
    <w:link w:val="Heading4Char"/>
    <w:uiPriority w:val="9"/>
    <w:semiHidden/>
    <w:unhideWhenUsed/>
    <w:qFormat/>
    <w:rsid w:val="006F2EA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character" w:styleId="Hyperlink">
    <w:name w:val="Hyperlink"/>
    <w:basedOn w:val="DefaultParagraphFont"/>
    <w:uiPriority w:val="99"/>
    <w:unhideWhenUsed/>
    <w:rsid w:val="00CC0EBC"/>
    <w:rPr>
      <w:color w:val="0000FF"/>
      <w:u w:val="single"/>
    </w:rPr>
  </w:style>
  <w:style w:type="character" w:customStyle="1" w:styleId="st">
    <w:name w:val="st"/>
    <w:basedOn w:val="DefaultParagraphFont"/>
    <w:rsid w:val="00EB5352"/>
  </w:style>
  <w:style w:type="character" w:styleId="Emphasis">
    <w:name w:val="Emphasis"/>
    <w:basedOn w:val="DefaultParagraphFont"/>
    <w:uiPriority w:val="20"/>
    <w:qFormat/>
    <w:rsid w:val="00EB5352"/>
    <w:rPr>
      <w:i/>
      <w:iCs/>
    </w:rPr>
  </w:style>
  <w:style w:type="paragraph" w:styleId="Revision">
    <w:name w:val="Revision"/>
    <w:hidden/>
    <w:uiPriority w:val="99"/>
    <w:semiHidden/>
    <w:rsid w:val="00C634D7"/>
    <w:rPr>
      <w:rFonts w:ascii="Arial" w:hAnsi="Arial" w:cs="Arial"/>
    </w:rPr>
  </w:style>
  <w:style w:type="character" w:customStyle="1" w:styleId="UnresolvedMention1">
    <w:name w:val="Unresolved Mention1"/>
    <w:basedOn w:val="DefaultParagraphFont"/>
    <w:uiPriority w:val="99"/>
    <w:semiHidden/>
    <w:unhideWhenUsed/>
    <w:rsid w:val="00A444F1"/>
    <w:rPr>
      <w:color w:val="605E5C"/>
      <w:shd w:val="clear" w:color="auto" w:fill="E1DFDD"/>
    </w:rPr>
  </w:style>
  <w:style w:type="paragraph" w:styleId="BodyText">
    <w:name w:val="Body Text"/>
    <w:basedOn w:val="Normal"/>
    <w:link w:val="BodyTextChar"/>
    <w:uiPriority w:val="1"/>
    <w:qFormat/>
    <w:rsid w:val="001127C2"/>
    <w:pPr>
      <w:widowControl w:val="0"/>
      <w:autoSpaceDE w:val="0"/>
      <w:autoSpaceDN w:val="0"/>
      <w:ind w:left="920"/>
    </w:pPr>
    <w:rPr>
      <w:rFonts w:ascii="Corbel" w:eastAsia="Corbel" w:hAnsi="Corbel" w:cs="Corbel"/>
      <w:sz w:val="22"/>
      <w:szCs w:val="22"/>
    </w:rPr>
  </w:style>
  <w:style w:type="character" w:customStyle="1" w:styleId="BodyTextChar">
    <w:name w:val="Body Text Char"/>
    <w:basedOn w:val="DefaultParagraphFont"/>
    <w:link w:val="BodyText"/>
    <w:uiPriority w:val="1"/>
    <w:rsid w:val="001127C2"/>
    <w:rPr>
      <w:rFonts w:ascii="Corbel" w:eastAsia="Corbel" w:hAnsi="Corbel" w:cs="Corbel"/>
      <w:sz w:val="22"/>
      <w:szCs w:val="22"/>
    </w:rPr>
  </w:style>
  <w:style w:type="character" w:styleId="FollowedHyperlink">
    <w:name w:val="FollowedHyperlink"/>
    <w:basedOn w:val="DefaultParagraphFont"/>
    <w:uiPriority w:val="99"/>
    <w:semiHidden/>
    <w:unhideWhenUsed/>
    <w:rsid w:val="006F2EA2"/>
    <w:rPr>
      <w:color w:val="800080" w:themeColor="followedHyperlink"/>
      <w:u w:val="single"/>
    </w:rPr>
  </w:style>
  <w:style w:type="paragraph" w:styleId="NormalWeb">
    <w:name w:val="Normal (Web)"/>
    <w:basedOn w:val="Normal"/>
    <w:uiPriority w:val="99"/>
    <w:semiHidden/>
    <w:unhideWhenUsed/>
    <w:rsid w:val="006F2EA2"/>
    <w:pPr>
      <w:spacing w:before="100" w:beforeAutospacing="1" w:after="100" w:afterAutospacing="1"/>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6F2EA2"/>
    <w:rPr>
      <w:rFonts w:asciiTheme="majorHAnsi" w:eastAsiaTheme="majorEastAsia" w:hAnsiTheme="majorHAnsi" w:cstheme="majorBidi"/>
      <w:i/>
      <w:iCs/>
      <w:color w:val="365F91" w:themeColor="accent1" w:themeShade="BF"/>
    </w:rPr>
  </w:style>
  <w:style w:type="paragraph" w:customStyle="1" w:styleId="results-details-desc">
    <w:name w:val="results-details-desc"/>
    <w:basedOn w:val="Normal"/>
    <w:rsid w:val="006F2EA2"/>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D3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27562">
      <w:bodyDiv w:val="1"/>
      <w:marLeft w:val="0"/>
      <w:marRight w:val="0"/>
      <w:marTop w:val="0"/>
      <w:marBottom w:val="0"/>
      <w:divBdr>
        <w:top w:val="none" w:sz="0" w:space="0" w:color="auto"/>
        <w:left w:val="none" w:sz="0" w:space="0" w:color="auto"/>
        <w:bottom w:val="none" w:sz="0" w:space="0" w:color="auto"/>
        <w:right w:val="none" w:sz="0" w:space="0" w:color="auto"/>
      </w:divBdr>
    </w:div>
    <w:div w:id="659384260">
      <w:bodyDiv w:val="1"/>
      <w:marLeft w:val="0"/>
      <w:marRight w:val="0"/>
      <w:marTop w:val="0"/>
      <w:marBottom w:val="0"/>
      <w:divBdr>
        <w:top w:val="none" w:sz="0" w:space="0" w:color="auto"/>
        <w:left w:val="none" w:sz="0" w:space="0" w:color="auto"/>
        <w:bottom w:val="none" w:sz="0" w:space="0" w:color="auto"/>
        <w:right w:val="none" w:sz="0" w:space="0" w:color="auto"/>
      </w:divBdr>
    </w:div>
    <w:div w:id="784498472">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958222595">
      <w:bodyDiv w:val="1"/>
      <w:marLeft w:val="0"/>
      <w:marRight w:val="0"/>
      <w:marTop w:val="0"/>
      <w:marBottom w:val="0"/>
      <w:divBdr>
        <w:top w:val="none" w:sz="0" w:space="0" w:color="auto"/>
        <w:left w:val="none" w:sz="0" w:space="0" w:color="auto"/>
        <w:bottom w:val="none" w:sz="0" w:space="0" w:color="auto"/>
        <w:right w:val="none" w:sz="0" w:space="0" w:color="auto"/>
      </w:divBdr>
      <w:divsChild>
        <w:div w:id="3088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c.ark.org/eeuploads/adhe/New_Academic_Programs.pdf" TargetMode="External"/><Relationship Id="rId13" Type="http://schemas.openxmlformats.org/officeDocument/2006/relationships/hyperlink" Target="https://www.payscale.com/research/US/Degree=Doctor_of_Musical_Arts_(DMA)%2C_Music_Performance/Sala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sus.gov/econ/is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smallbusiness/html/naic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ls.gov/soc/2018/home.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ces.ed.gov/ipeds/cipcode/" TargetMode="External"/><Relationship Id="rId14" Type="http://schemas.openxmlformats.org/officeDocument/2006/relationships/hyperlink" Target="mailto:Nicolas.Aguelakakis@arkans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11EF-72F5-4E49-8E19-29A3272A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Workforce Analysis Form</vt:lpstr>
    </vt:vector>
  </TitlesOfParts>
  <Company>ADHE</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Analysis Form</dc:title>
  <dc:creator>Academic Affairs and Research</dc:creator>
  <cp:lastModifiedBy>Yenny Ongko</cp:lastModifiedBy>
  <cp:revision>2</cp:revision>
  <cp:lastPrinted>2016-06-16T16:05:00Z</cp:lastPrinted>
  <dcterms:created xsi:type="dcterms:W3CDTF">2023-04-10T13:45:00Z</dcterms:created>
  <dcterms:modified xsi:type="dcterms:W3CDTF">2023-04-10T13:45:00Z</dcterms:modified>
</cp:coreProperties>
</file>